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89A" w:rsidRDefault="0004782C" w:rsidP="00A27CCF">
      <w:pPr>
        <w:pStyle w:val="MainParagraph"/>
        <w:numPr>
          <w:ilvl w:val="0"/>
          <w:numId w:val="0"/>
        </w:numPr>
        <w:spacing w:after="360"/>
        <w:ind w:left="266" w:hanging="357"/>
        <w:jc w:val="center"/>
        <w:rPr>
          <w:b/>
          <w:u w:val="single"/>
        </w:rPr>
      </w:pPr>
      <w:r>
        <w:rPr>
          <w:b/>
          <w:u w:val="single"/>
        </w:rPr>
        <w:t>Case Conference Rules and Procedure</w:t>
      </w:r>
      <w:r w:rsidR="00B75717">
        <w:rPr>
          <w:b/>
          <w:u w:val="single"/>
        </w:rPr>
        <w:t xml:space="preserve"> </w:t>
      </w:r>
    </w:p>
    <w:p w:rsidR="0036789A" w:rsidRDefault="0036789A" w:rsidP="00E02724">
      <w:pPr>
        <w:pStyle w:val="MainParagraph"/>
        <w:numPr>
          <w:ilvl w:val="0"/>
          <w:numId w:val="1"/>
        </w:numPr>
        <w:spacing w:line="360" w:lineRule="auto"/>
        <w:ind w:left="629" w:hanging="720"/>
      </w:pPr>
      <w:r>
        <w:t>In a family law case there must be at least one meeting with the judge.  This is called a conference.  There are several different kinds of conferences.  Each has a different</w:t>
      </w:r>
      <w:r w:rsidR="001211F1">
        <w:t>, and important,</w:t>
      </w:r>
      <w:r>
        <w:t xml:space="preserve"> purpose and takes place at a different stage in the case.  </w:t>
      </w:r>
      <w:r w:rsidR="001211F1">
        <w:t xml:space="preserve">The first </w:t>
      </w:r>
      <w:r>
        <w:t xml:space="preserve">conference is called a “Case Conference” </w:t>
      </w:r>
      <w:r w:rsidRPr="005D3C40">
        <w:t xml:space="preserve">and this takes place at the beginning of </w:t>
      </w:r>
      <w:r>
        <w:t>a</w:t>
      </w:r>
      <w:r w:rsidRPr="005D3C40">
        <w:t xml:space="preserve"> case after the parties have exchanged their positions in writing</w:t>
      </w:r>
      <w:r>
        <w:t xml:space="preserve"> (their “</w:t>
      </w:r>
      <w:r w:rsidRPr="005D3C40">
        <w:t>pleadings</w:t>
      </w:r>
      <w:r w:rsidR="00A9556C">
        <w:t xml:space="preserve">”). </w:t>
      </w:r>
      <w:r>
        <w:t>W</w:t>
      </w:r>
      <w:r w:rsidRPr="005D3C40">
        <w:t xml:space="preserve">hat follows is a procedural guide to, and what is expected of each party at, a </w:t>
      </w:r>
      <w:r>
        <w:t>C</w:t>
      </w:r>
      <w:r w:rsidRPr="005D3C40">
        <w:t xml:space="preserve">ase </w:t>
      </w:r>
      <w:r>
        <w:t>C</w:t>
      </w:r>
      <w:r w:rsidRPr="005D3C40">
        <w:t xml:space="preserve">onference. </w:t>
      </w:r>
      <w:r w:rsidR="007D01F0">
        <w:t>For additional information about family law rules and practice there may be a Practice Direction in your region which can be consulted. For the Central East Region t</w:t>
      </w:r>
      <w:r w:rsidR="00CC6B90">
        <w:t xml:space="preserve">hat Direction </w:t>
      </w:r>
      <w:r w:rsidR="007D01F0">
        <w:t>is effective May 1, 2016</w:t>
      </w:r>
      <w:r w:rsidR="005F70A6">
        <w:t xml:space="preserve"> (</w:t>
      </w:r>
      <w:r w:rsidR="00185FD7">
        <w:t>amended December 1, 2017</w:t>
      </w:r>
      <w:r w:rsidR="005F70A6">
        <w:t>)</w:t>
      </w:r>
      <w:r w:rsidR="007D01F0">
        <w:t>. It can be accessed online</w:t>
      </w:r>
      <w:r w:rsidR="00185FD7">
        <w:t xml:space="preserve"> on the Superior Court of Justice website under “Practice and Procedure” for Central East</w:t>
      </w:r>
      <w:r w:rsidR="007D01F0">
        <w:t xml:space="preserve"> (“Consolidated Practice Direction Concerning Family Law </w:t>
      </w:r>
      <w:r w:rsidR="006E42AC">
        <w:t>Cases in Central East Region”) or a copy obtained from the</w:t>
      </w:r>
      <w:r w:rsidR="001211F1">
        <w:t xml:space="preserve"> Family Law Information Centre </w:t>
      </w:r>
      <w:r w:rsidR="006E42AC">
        <w:t>(“FLIC”) at your local court.</w:t>
      </w:r>
      <w:r w:rsidR="00A9556C">
        <w:t xml:space="preserve"> Reference can also be had to “A Guide to Process for Family Cases at the Superior Court of Justice” for self-represented litigants found on the Superior Court of Justice website (under </w:t>
      </w:r>
      <w:r w:rsidR="00185FD7">
        <w:t xml:space="preserve">the </w:t>
      </w:r>
      <w:r w:rsidR="00185FD7" w:rsidRPr="00185FD7">
        <w:rPr>
          <w:b/>
        </w:rPr>
        <w:t>Family</w:t>
      </w:r>
      <w:r w:rsidR="00185FD7">
        <w:t xml:space="preserve"> tab for “Other Resources”</w:t>
      </w:r>
      <w:r w:rsidR="00A9556C">
        <w:t xml:space="preserve">). </w:t>
      </w:r>
    </w:p>
    <w:p w:rsidR="0036789A" w:rsidRPr="00417813" w:rsidRDefault="0036789A" w:rsidP="00A27CCF">
      <w:pPr>
        <w:pStyle w:val="MainParagraph"/>
        <w:numPr>
          <w:ilvl w:val="0"/>
          <w:numId w:val="0"/>
        </w:numPr>
        <w:ind w:left="266" w:hanging="357"/>
        <w:rPr>
          <w:b/>
          <w:u w:val="single"/>
        </w:rPr>
      </w:pPr>
      <w:r w:rsidRPr="00417813">
        <w:rPr>
          <w:b/>
          <w:u w:val="single"/>
        </w:rPr>
        <w:t>The Rule</w:t>
      </w:r>
    </w:p>
    <w:p w:rsidR="0036789A" w:rsidRDefault="0036789A" w:rsidP="00B84A31">
      <w:pPr>
        <w:pStyle w:val="MainParagraph"/>
        <w:spacing w:after="120" w:line="360" w:lineRule="auto"/>
        <w:ind w:left="629" w:hanging="720"/>
      </w:pPr>
      <w:r>
        <w:t>T</w:t>
      </w:r>
      <w:r w:rsidRPr="005D3C40">
        <w:t xml:space="preserve">he purposes of </w:t>
      </w:r>
      <w:r>
        <w:t>a</w:t>
      </w:r>
      <w:r w:rsidRPr="005D3C40">
        <w:t xml:space="preserve"> </w:t>
      </w:r>
      <w:r>
        <w:t>C</w:t>
      </w:r>
      <w:r w:rsidRPr="005D3C40">
        <w:t xml:space="preserve">ase </w:t>
      </w:r>
      <w:r>
        <w:t>C</w:t>
      </w:r>
      <w:r w:rsidRPr="005D3C40">
        <w:t xml:space="preserve">onference </w:t>
      </w:r>
      <w:r>
        <w:t>are</w:t>
      </w:r>
      <w:r w:rsidRPr="005D3C40">
        <w:t xml:space="preserve"> set </w:t>
      </w:r>
      <w:r>
        <w:t>in</w:t>
      </w:r>
      <w:r w:rsidRPr="005D3C40">
        <w:t xml:space="preserve"> </w:t>
      </w:r>
      <w:r>
        <w:t>R</w:t>
      </w:r>
      <w:r w:rsidRPr="005D3C40">
        <w:t>ule 17</w:t>
      </w:r>
      <w:r>
        <w:t>(</w:t>
      </w:r>
      <w:r w:rsidRPr="005D3C40">
        <w:t>4</w:t>
      </w:r>
      <w:r>
        <w:t>)</w:t>
      </w:r>
      <w:r w:rsidRPr="005D3C40">
        <w:t xml:space="preserve"> of the </w:t>
      </w:r>
      <w:r w:rsidRPr="00417813">
        <w:rPr>
          <w:i/>
        </w:rPr>
        <w:t>Family Law Rules</w:t>
      </w:r>
      <w:r w:rsidRPr="005D3C40">
        <w:t xml:space="preserve"> and include</w:t>
      </w:r>
      <w:r>
        <w:t>,</w:t>
      </w:r>
    </w:p>
    <w:p w:rsidR="0036789A" w:rsidRPr="00417813" w:rsidRDefault="0036789A" w:rsidP="00CB41A8">
      <w:pPr>
        <w:pStyle w:val="MainParagraph"/>
        <w:numPr>
          <w:ilvl w:val="0"/>
          <w:numId w:val="0"/>
        </w:numPr>
        <w:spacing w:after="120"/>
        <w:ind w:left="1440" w:right="1440"/>
      </w:pPr>
      <w:r w:rsidRPr="00417813">
        <w:t xml:space="preserve">(a) </w:t>
      </w:r>
      <w:proofErr w:type="gramStart"/>
      <w:r w:rsidRPr="00417813">
        <w:t>exploring</w:t>
      </w:r>
      <w:proofErr w:type="gramEnd"/>
      <w:r w:rsidRPr="00417813">
        <w:t xml:space="preserve"> the chances of settling the case;</w:t>
      </w:r>
    </w:p>
    <w:p w:rsidR="0036789A" w:rsidRPr="00417813" w:rsidRDefault="0036789A" w:rsidP="00CB41A8">
      <w:pPr>
        <w:pStyle w:val="MainParagraph"/>
        <w:numPr>
          <w:ilvl w:val="0"/>
          <w:numId w:val="0"/>
        </w:numPr>
        <w:spacing w:after="120"/>
        <w:ind w:left="1440" w:right="1440"/>
      </w:pPr>
      <w:r w:rsidRPr="00417813">
        <w:t xml:space="preserve">(b) </w:t>
      </w:r>
      <w:proofErr w:type="gramStart"/>
      <w:r w:rsidRPr="00417813">
        <w:t>identifying</w:t>
      </w:r>
      <w:proofErr w:type="gramEnd"/>
      <w:r w:rsidRPr="00417813">
        <w:t xml:space="preserve"> the issues that are in dispute and those that are not in dispute;</w:t>
      </w:r>
    </w:p>
    <w:p w:rsidR="0036789A" w:rsidRPr="00417813" w:rsidRDefault="0036789A" w:rsidP="00CB41A8">
      <w:pPr>
        <w:pStyle w:val="MainParagraph"/>
        <w:numPr>
          <w:ilvl w:val="0"/>
          <w:numId w:val="0"/>
        </w:numPr>
        <w:spacing w:after="120"/>
        <w:ind w:left="1440" w:right="1440"/>
      </w:pPr>
      <w:r w:rsidRPr="00417813">
        <w:t xml:space="preserve">(c) </w:t>
      </w:r>
      <w:proofErr w:type="gramStart"/>
      <w:r w:rsidRPr="00417813">
        <w:t>exploring</w:t>
      </w:r>
      <w:proofErr w:type="gramEnd"/>
      <w:r w:rsidRPr="00417813">
        <w:t xml:space="preserve"> ways to resolve the issues that are in dispute;</w:t>
      </w:r>
    </w:p>
    <w:p w:rsidR="0036789A" w:rsidRPr="00417813" w:rsidRDefault="0036789A" w:rsidP="00CB41A8">
      <w:pPr>
        <w:pStyle w:val="MainParagraph"/>
        <w:numPr>
          <w:ilvl w:val="0"/>
          <w:numId w:val="0"/>
        </w:numPr>
        <w:spacing w:after="120"/>
        <w:ind w:left="1440" w:right="1440"/>
      </w:pPr>
      <w:r w:rsidRPr="00417813">
        <w:t xml:space="preserve">(d) </w:t>
      </w:r>
      <w:proofErr w:type="gramStart"/>
      <w:r w:rsidRPr="00417813">
        <w:t>ensuring</w:t>
      </w:r>
      <w:proofErr w:type="gramEnd"/>
      <w:r w:rsidRPr="00417813">
        <w:t xml:space="preserve"> disclosure of the relevant evidence;</w:t>
      </w:r>
    </w:p>
    <w:p w:rsidR="0036789A" w:rsidRPr="00417813" w:rsidRDefault="0036789A" w:rsidP="00CB41A8">
      <w:pPr>
        <w:pStyle w:val="MainParagraph"/>
        <w:numPr>
          <w:ilvl w:val="0"/>
          <w:numId w:val="0"/>
        </w:numPr>
        <w:spacing w:after="120"/>
        <w:ind w:left="1440" w:right="1440"/>
      </w:pPr>
      <w:r w:rsidRPr="00417813">
        <w:t>(d.1) identifying any issues relating to any expert evidence or reports on which the parties intend to rely at trial;</w:t>
      </w:r>
    </w:p>
    <w:p w:rsidR="0036789A" w:rsidRPr="00417813" w:rsidRDefault="0036789A" w:rsidP="00CB41A8">
      <w:pPr>
        <w:pStyle w:val="MainParagraph"/>
        <w:numPr>
          <w:ilvl w:val="0"/>
          <w:numId w:val="0"/>
        </w:numPr>
        <w:spacing w:after="120"/>
        <w:ind w:left="1440" w:right="1440"/>
      </w:pPr>
      <w:r w:rsidRPr="00417813">
        <w:t xml:space="preserve">(e) </w:t>
      </w:r>
      <w:proofErr w:type="gramStart"/>
      <w:r w:rsidRPr="00417813">
        <w:t>noting</w:t>
      </w:r>
      <w:proofErr w:type="gramEnd"/>
      <w:r w:rsidRPr="00417813">
        <w:t xml:space="preserve"> admissions that may simplify the case;</w:t>
      </w:r>
    </w:p>
    <w:p w:rsidR="0036789A" w:rsidRPr="00417813" w:rsidRDefault="0036789A" w:rsidP="00CB41A8">
      <w:pPr>
        <w:pStyle w:val="MainParagraph"/>
        <w:numPr>
          <w:ilvl w:val="0"/>
          <w:numId w:val="0"/>
        </w:numPr>
        <w:spacing w:after="120"/>
        <w:ind w:left="1440" w:right="1440"/>
      </w:pPr>
      <w:r w:rsidRPr="00417813">
        <w:t xml:space="preserve">(f) </w:t>
      </w:r>
      <w:proofErr w:type="gramStart"/>
      <w:r w:rsidRPr="00417813">
        <w:t>setting</w:t>
      </w:r>
      <w:proofErr w:type="gramEnd"/>
      <w:r w:rsidRPr="00417813">
        <w:t xml:space="preserve"> the date for the next step in the case;</w:t>
      </w:r>
    </w:p>
    <w:p w:rsidR="0036789A" w:rsidRPr="00417813" w:rsidRDefault="0036789A" w:rsidP="00CB41A8">
      <w:pPr>
        <w:pStyle w:val="MainParagraph"/>
        <w:numPr>
          <w:ilvl w:val="0"/>
          <w:numId w:val="0"/>
        </w:numPr>
        <w:spacing w:after="120"/>
        <w:ind w:left="1440" w:right="1440"/>
      </w:pPr>
      <w:r w:rsidRPr="00417813">
        <w:t xml:space="preserve">(g) </w:t>
      </w:r>
      <w:proofErr w:type="gramStart"/>
      <w:r w:rsidRPr="00417813">
        <w:t>setting</w:t>
      </w:r>
      <w:proofErr w:type="gramEnd"/>
      <w:r w:rsidRPr="00417813">
        <w:t xml:space="preserve"> a specific timetable for the steps to be taken in the case before it comes to trial;</w:t>
      </w:r>
    </w:p>
    <w:p w:rsidR="0036789A" w:rsidRPr="00417813" w:rsidRDefault="009E1A0B" w:rsidP="00CB41A8">
      <w:pPr>
        <w:pStyle w:val="MainParagraph"/>
        <w:numPr>
          <w:ilvl w:val="0"/>
          <w:numId w:val="0"/>
        </w:numPr>
        <w:spacing w:after="120"/>
        <w:ind w:left="1440" w:right="1440"/>
      </w:pPr>
      <w:r>
        <w:lastRenderedPageBreak/>
        <w:t xml:space="preserve">(h) </w:t>
      </w:r>
      <w:proofErr w:type="gramStart"/>
      <w:r w:rsidR="0036789A" w:rsidRPr="00417813">
        <w:t>organizing</w:t>
      </w:r>
      <w:proofErr w:type="gramEnd"/>
      <w:r w:rsidR="0036789A" w:rsidRPr="00417813">
        <w:t xml:space="preserve"> a settlement conference, or holding one if appropriate; and</w:t>
      </w:r>
    </w:p>
    <w:p w:rsidR="0036789A" w:rsidRPr="00417813" w:rsidRDefault="0036789A" w:rsidP="00CB41A8">
      <w:pPr>
        <w:pStyle w:val="MainParagraph"/>
        <w:numPr>
          <w:ilvl w:val="0"/>
          <w:numId w:val="0"/>
        </w:numPr>
        <w:ind w:left="1440" w:right="1440"/>
      </w:pPr>
      <w:r w:rsidRPr="00417813">
        <w:t>(</w:t>
      </w:r>
      <w:proofErr w:type="spellStart"/>
      <w:r w:rsidRPr="00417813">
        <w:t>i</w:t>
      </w:r>
      <w:proofErr w:type="spellEnd"/>
      <w:r w:rsidRPr="00417813">
        <w:t xml:space="preserve">) </w:t>
      </w:r>
      <w:proofErr w:type="gramStart"/>
      <w:r w:rsidRPr="00417813">
        <w:t>giving</w:t>
      </w:r>
      <w:proofErr w:type="gramEnd"/>
      <w:r w:rsidRPr="00417813">
        <w:t xml:space="preserve"> directions with respect to any intended motion, including the preparation of a specific timetable for the exchange of material for the motion and ordering the filing of summaries of argument, if appropriate. </w:t>
      </w:r>
    </w:p>
    <w:p w:rsidR="0036789A" w:rsidRPr="00417813" w:rsidRDefault="0036789A" w:rsidP="00A27CCF">
      <w:pPr>
        <w:pStyle w:val="MainParagraph"/>
        <w:numPr>
          <w:ilvl w:val="0"/>
          <w:numId w:val="0"/>
        </w:numPr>
        <w:ind w:left="266" w:hanging="357"/>
        <w:rPr>
          <w:b/>
          <w:u w:val="single"/>
        </w:rPr>
      </w:pPr>
      <w:r w:rsidRPr="00417813">
        <w:rPr>
          <w:b/>
          <w:u w:val="single"/>
        </w:rPr>
        <w:t>Orders at a Case Conference</w:t>
      </w:r>
    </w:p>
    <w:p w:rsidR="0036789A" w:rsidRDefault="00CB57D6" w:rsidP="00A27CCF">
      <w:pPr>
        <w:pStyle w:val="MainParagraph"/>
        <w:spacing w:line="360" w:lineRule="auto"/>
        <w:ind w:left="629" w:hanging="720"/>
      </w:pPr>
      <w:r>
        <w:t>There are many kinds of Orders that a case conference judge can make so i</w:t>
      </w:r>
      <w:r w:rsidR="0036789A">
        <w:t>t is impor</w:t>
      </w:r>
      <w:r w:rsidR="0036789A" w:rsidRPr="005D3C40">
        <w:t xml:space="preserve">tant to know what </w:t>
      </w:r>
      <w:r>
        <w:t>the</w:t>
      </w:r>
      <w:r w:rsidR="0036789A" w:rsidRPr="005D3C40">
        <w:t xml:space="preserve"> judge can </w:t>
      </w:r>
      <w:r w:rsidR="00333F50">
        <w:t xml:space="preserve">(or cannot) </w:t>
      </w:r>
      <w:r w:rsidR="0036789A" w:rsidRPr="005D3C40">
        <w:t>order</w:t>
      </w:r>
      <w:r>
        <w:t>.</w:t>
      </w:r>
    </w:p>
    <w:p w:rsidR="0036789A" w:rsidRPr="00A905C2" w:rsidRDefault="0036789A" w:rsidP="00A27CCF">
      <w:pPr>
        <w:pStyle w:val="MainParagraph"/>
        <w:numPr>
          <w:ilvl w:val="0"/>
          <w:numId w:val="0"/>
        </w:numPr>
        <w:spacing w:after="120"/>
        <w:ind w:left="1440" w:right="1440"/>
      </w:pPr>
      <w:r w:rsidRPr="00A905C2">
        <w:t>(8) At a case conference</w:t>
      </w:r>
      <w:r w:rsidR="00695509">
        <w:t>…</w:t>
      </w:r>
      <w:r w:rsidRPr="00A905C2">
        <w:t>the judge may, if it is appropriate to do so,</w:t>
      </w:r>
    </w:p>
    <w:p w:rsidR="0036789A" w:rsidRPr="00A905C2" w:rsidRDefault="0036789A" w:rsidP="00A27CCF">
      <w:pPr>
        <w:pStyle w:val="MainParagraph"/>
        <w:numPr>
          <w:ilvl w:val="0"/>
          <w:numId w:val="0"/>
        </w:numPr>
        <w:spacing w:after="120"/>
        <w:ind w:left="1440" w:right="1440"/>
      </w:pPr>
      <w:r w:rsidRPr="00A905C2">
        <w:t>(a) make an order for document disclosure (rule 19), questioning (rule 20) or filing of summaries of argument on a motion, set the times for events in the case or give directions for the next step or steps in the case;</w:t>
      </w:r>
    </w:p>
    <w:p w:rsidR="0036789A" w:rsidRPr="00A905C2" w:rsidRDefault="0036789A" w:rsidP="00A27CCF">
      <w:pPr>
        <w:pStyle w:val="MainParagraph"/>
        <w:numPr>
          <w:ilvl w:val="0"/>
          <w:numId w:val="0"/>
        </w:numPr>
        <w:spacing w:after="120"/>
        <w:ind w:left="1440" w:right="1440"/>
      </w:pPr>
      <w:r w:rsidRPr="00A905C2">
        <w:t xml:space="preserve">(a.0.1) </w:t>
      </w:r>
      <w:r w:rsidR="00253ED3">
        <w:t>make an order about expert evidence, including hiring an expert for one or more parties, the use of an expert opinion and how and when experts’ reports are to be served, filed and the opinion admitted into evidence;</w:t>
      </w:r>
    </w:p>
    <w:p w:rsidR="0036789A" w:rsidRPr="00A905C2" w:rsidRDefault="0036789A" w:rsidP="00A27CCF">
      <w:pPr>
        <w:pStyle w:val="MainParagraph"/>
        <w:numPr>
          <w:ilvl w:val="0"/>
          <w:numId w:val="0"/>
        </w:numPr>
        <w:spacing w:after="120"/>
        <w:ind w:left="1440" w:right="1440"/>
      </w:pPr>
      <w:r w:rsidRPr="00A905C2">
        <w:t>(a.1) order that the evidence of a witness at trial be given by affidavit;</w:t>
      </w:r>
    </w:p>
    <w:p w:rsidR="0036789A" w:rsidRPr="00A905C2" w:rsidRDefault="0036789A" w:rsidP="00A27CCF">
      <w:pPr>
        <w:pStyle w:val="MainParagraph"/>
        <w:numPr>
          <w:ilvl w:val="0"/>
          <w:numId w:val="0"/>
        </w:numPr>
        <w:spacing w:after="120"/>
        <w:ind w:left="1440" w:right="1440"/>
      </w:pPr>
      <w:r w:rsidRPr="00A905C2">
        <w:t xml:space="preserve">(b) </w:t>
      </w:r>
      <w:proofErr w:type="gramStart"/>
      <w:r w:rsidRPr="00A905C2">
        <w:t>if</w:t>
      </w:r>
      <w:proofErr w:type="gramEnd"/>
      <w:r w:rsidRPr="00A905C2">
        <w:t xml:space="preserve"> notice has been served, make a temporary or final order;</w:t>
      </w:r>
    </w:p>
    <w:p w:rsidR="0036789A" w:rsidRPr="00A905C2" w:rsidRDefault="0036789A" w:rsidP="00A27CCF">
      <w:pPr>
        <w:pStyle w:val="MainParagraph"/>
        <w:numPr>
          <w:ilvl w:val="0"/>
          <w:numId w:val="0"/>
        </w:numPr>
        <w:spacing w:after="120"/>
        <w:ind w:left="1440" w:right="1440"/>
      </w:pPr>
      <w:r w:rsidRPr="00A905C2">
        <w:t xml:space="preserve">(c) </w:t>
      </w:r>
      <w:proofErr w:type="gramStart"/>
      <w:r w:rsidRPr="00A905C2">
        <w:t>make</w:t>
      </w:r>
      <w:proofErr w:type="gramEnd"/>
      <w:r w:rsidRPr="00A905C2">
        <w:t xml:space="preserve"> an unopposed order or an order on consent; </w:t>
      </w:r>
    </w:p>
    <w:p w:rsidR="00695509" w:rsidRDefault="0036789A" w:rsidP="00A27CCF">
      <w:pPr>
        <w:pStyle w:val="MainParagraph"/>
        <w:numPr>
          <w:ilvl w:val="0"/>
          <w:numId w:val="0"/>
        </w:numPr>
        <w:spacing w:after="120"/>
        <w:ind w:left="1440" w:right="1440"/>
      </w:pPr>
      <w:r w:rsidRPr="00A905C2">
        <w:t xml:space="preserve">(d) </w:t>
      </w:r>
      <w:proofErr w:type="gramStart"/>
      <w:r w:rsidRPr="00A905C2">
        <w:t>on</w:t>
      </w:r>
      <w:proofErr w:type="gramEnd"/>
      <w:r w:rsidRPr="00A905C2">
        <w:t xml:space="preserve"> consent, refer any issue for alternative dispute resolution</w:t>
      </w:r>
      <w:r w:rsidR="00695509">
        <w:t>; and</w:t>
      </w:r>
      <w:bookmarkStart w:id="0" w:name="_Hlk17296550"/>
    </w:p>
    <w:p w:rsidR="00695509" w:rsidRPr="000C130D" w:rsidRDefault="00695509" w:rsidP="00695509">
      <w:pPr>
        <w:pStyle w:val="ListParagraph"/>
        <w:spacing w:before="120" w:after="120" w:line="360" w:lineRule="auto"/>
        <w:ind w:left="2160" w:right="720" w:hanging="720"/>
        <w:jc w:val="both"/>
        <w:rPr>
          <w:lang w:val="en-GB"/>
        </w:rPr>
      </w:pPr>
      <w:r>
        <w:t>(</w:t>
      </w:r>
      <w:r w:rsidR="00253ED3">
        <w:t>e</w:t>
      </w:r>
      <w:r>
        <w:t>)</w:t>
      </w:r>
      <w:r w:rsidRPr="00695509">
        <w:rPr>
          <w:lang w:val="en-GB"/>
        </w:rPr>
        <w:t xml:space="preserve"> </w:t>
      </w:r>
      <w:proofErr w:type="gramStart"/>
      <w:r w:rsidRPr="000C130D">
        <w:rPr>
          <w:lang w:val="en-GB"/>
        </w:rPr>
        <w:t>make</w:t>
      </w:r>
      <w:proofErr w:type="gramEnd"/>
      <w:r w:rsidRPr="000C130D">
        <w:rPr>
          <w:lang w:val="en-GB"/>
        </w:rPr>
        <w:t xml:space="preserve"> an order requiring one or more parties to attend,</w:t>
      </w:r>
    </w:p>
    <w:p w:rsidR="00695509" w:rsidRPr="000C130D" w:rsidRDefault="00695509" w:rsidP="00CB41A8">
      <w:pPr>
        <w:pStyle w:val="ListParagraph"/>
        <w:spacing w:before="120" w:after="120"/>
        <w:ind w:left="2127" w:right="720" w:hanging="426"/>
        <w:contextualSpacing w:val="0"/>
        <w:jc w:val="both"/>
        <w:rPr>
          <w:lang w:val="en-GB"/>
        </w:rPr>
      </w:pPr>
      <w:r w:rsidRPr="000C130D">
        <w:rPr>
          <w:lang w:val="en-GB"/>
        </w:rPr>
        <w:t>(</w:t>
      </w:r>
      <w:proofErr w:type="spellStart"/>
      <w:r w:rsidRPr="000C130D">
        <w:rPr>
          <w:lang w:val="en-GB"/>
        </w:rPr>
        <w:t>i</w:t>
      </w:r>
      <w:proofErr w:type="spellEnd"/>
      <w:r w:rsidRPr="000C130D">
        <w:rPr>
          <w:lang w:val="en-GB"/>
        </w:rPr>
        <w:t>)</w:t>
      </w:r>
      <w:r w:rsidRPr="000C130D">
        <w:rPr>
          <w:lang w:val="en-GB"/>
        </w:rPr>
        <w:tab/>
      </w:r>
      <w:proofErr w:type="gramStart"/>
      <w:r w:rsidRPr="000C130D">
        <w:rPr>
          <w:lang w:val="en-GB"/>
        </w:rPr>
        <w:t>a</w:t>
      </w:r>
      <w:proofErr w:type="gramEnd"/>
      <w:r w:rsidRPr="000C130D">
        <w:rPr>
          <w:lang w:val="en-GB"/>
        </w:rPr>
        <w:t xml:space="preserve"> mandatory information program,</w:t>
      </w:r>
    </w:p>
    <w:p w:rsidR="00695509" w:rsidRPr="000C130D" w:rsidRDefault="00695509" w:rsidP="00CB41A8">
      <w:pPr>
        <w:pStyle w:val="ListParagraph"/>
        <w:spacing w:before="120" w:after="120"/>
        <w:ind w:left="2127" w:right="720" w:hanging="426"/>
        <w:contextualSpacing w:val="0"/>
        <w:jc w:val="both"/>
        <w:rPr>
          <w:lang w:val="en-GB"/>
        </w:rPr>
      </w:pPr>
      <w:r w:rsidRPr="000C130D">
        <w:rPr>
          <w:lang w:val="en-GB"/>
        </w:rPr>
        <w:t>(ii)</w:t>
      </w:r>
      <w:r w:rsidRPr="000C130D">
        <w:rPr>
          <w:lang w:val="en-GB"/>
        </w:rPr>
        <w:tab/>
      </w:r>
      <w:proofErr w:type="gramStart"/>
      <w:r w:rsidRPr="000C130D">
        <w:rPr>
          <w:lang w:val="en-GB"/>
        </w:rPr>
        <w:t>a</w:t>
      </w:r>
      <w:r>
        <w:rPr>
          <w:lang w:val="en-GB"/>
        </w:rPr>
        <w:t>…</w:t>
      </w:r>
      <w:proofErr w:type="gramEnd"/>
      <w:r w:rsidRPr="000C130D">
        <w:rPr>
          <w:lang w:val="en-GB"/>
        </w:rPr>
        <w:t xml:space="preserve">settlement conference conducted by a </w:t>
      </w:r>
      <w:r w:rsidR="001B19B5">
        <w:rPr>
          <w:lang w:val="en-GB"/>
        </w:rPr>
        <w:t>non-judge who is a current or former lawyer or retired judicial officer of the Ontario Superior Court of Justice approved for that purpose by the regional senior judge</w:t>
      </w:r>
      <w:r w:rsidR="007D0BAE">
        <w:rPr>
          <w:lang w:val="en-GB"/>
        </w:rPr>
        <w:t>;</w:t>
      </w:r>
    </w:p>
    <w:p w:rsidR="00695509" w:rsidRPr="000C130D" w:rsidRDefault="00695509" w:rsidP="00CB41A8">
      <w:pPr>
        <w:pStyle w:val="ListParagraph"/>
        <w:spacing w:before="120" w:after="120"/>
        <w:ind w:left="2127" w:right="720" w:hanging="426"/>
        <w:contextualSpacing w:val="0"/>
        <w:jc w:val="both"/>
        <w:rPr>
          <w:lang w:val="en-GB"/>
        </w:rPr>
      </w:pPr>
      <w:r w:rsidRPr="000C130D">
        <w:rPr>
          <w:lang w:val="en-GB"/>
        </w:rPr>
        <w:t>(iii)</w:t>
      </w:r>
      <w:r w:rsidRPr="000C130D">
        <w:rPr>
          <w:lang w:val="en-GB"/>
        </w:rPr>
        <w:tab/>
      </w:r>
      <w:proofErr w:type="gramStart"/>
      <w:r w:rsidRPr="000C130D">
        <w:rPr>
          <w:lang w:val="en-GB"/>
        </w:rPr>
        <w:t>an</w:t>
      </w:r>
      <w:proofErr w:type="gramEnd"/>
      <w:r w:rsidRPr="000C130D">
        <w:rPr>
          <w:lang w:val="en-GB"/>
        </w:rPr>
        <w:t xml:space="preserve"> intake meeting with a court-affiliated mediation service, or</w:t>
      </w:r>
    </w:p>
    <w:p w:rsidR="00695509" w:rsidRPr="000C130D" w:rsidRDefault="00695509" w:rsidP="00CB41A8">
      <w:pPr>
        <w:pStyle w:val="ListParagraph"/>
        <w:spacing w:before="120" w:after="240"/>
        <w:ind w:left="2127" w:right="720" w:hanging="426"/>
        <w:contextualSpacing w:val="0"/>
        <w:jc w:val="both"/>
        <w:rPr>
          <w:lang w:val="en-GB"/>
        </w:rPr>
      </w:pPr>
      <w:r w:rsidRPr="000C130D">
        <w:rPr>
          <w:lang w:val="en-GB"/>
        </w:rPr>
        <w:t>(iv)</w:t>
      </w:r>
      <w:r w:rsidRPr="000C130D">
        <w:rPr>
          <w:lang w:val="en-GB"/>
        </w:rPr>
        <w:tab/>
      </w:r>
      <w:proofErr w:type="gramStart"/>
      <w:r w:rsidRPr="000C130D">
        <w:rPr>
          <w:lang w:val="en-GB"/>
        </w:rPr>
        <w:t>a</w:t>
      </w:r>
      <w:proofErr w:type="gramEnd"/>
      <w:r w:rsidRPr="000C130D">
        <w:rPr>
          <w:lang w:val="en-GB"/>
        </w:rPr>
        <w:t xml:space="preserve"> program offered through any other available community service or resource;</w:t>
      </w:r>
    </w:p>
    <w:bookmarkEnd w:id="0"/>
    <w:p w:rsidR="0036789A" w:rsidRDefault="0036789A" w:rsidP="00A27CCF">
      <w:pPr>
        <w:pStyle w:val="MainParagraph"/>
        <w:spacing w:line="360" w:lineRule="auto"/>
        <w:ind w:left="629" w:hanging="720"/>
      </w:pPr>
      <w:r>
        <w:t>A</w:t>
      </w:r>
      <w:r w:rsidRPr="005D3C40">
        <w:t xml:space="preserve"> judge </w:t>
      </w:r>
      <w:r w:rsidRPr="008277B2">
        <w:rPr>
          <w:b/>
        </w:rPr>
        <w:t>cannot</w:t>
      </w:r>
      <w:r w:rsidRPr="005D3C40">
        <w:t xml:space="preserve"> make an </w:t>
      </w:r>
      <w:r>
        <w:t>O</w:t>
      </w:r>
      <w:r w:rsidRPr="005D3C40">
        <w:t xml:space="preserve">rder finally resolving the case, or any of its disputed issues, unless the parties agree before or at the conference. </w:t>
      </w:r>
      <w:r w:rsidR="005A0436">
        <w:t xml:space="preserve"> A judge </w:t>
      </w:r>
      <w:r w:rsidR="005A0436" w:rsidRPr="005A0436">
        <w:rPr>
          <w:b/>
        </w:rPr>
        <w:t>can</w:t>
      </w:r>
      <w:r w:rsidR="005A0436">
        <w:rPr>
          <w:b/>
        </w:rPr>
        <w:t xml:space="preserve"> </w:t>
      </w:r>
      <w:r w:rsidR="005A0436">
        <w:t xml:space="preserve">make an order for support if notice of that request has been made in the Brief. This is more likely where there is no </w:t>
      </w:r>
      <w:r w:rsidR="005A0436">
        <w:lastRenderedPageBreak/>
        <w:t>support be</w:t>
      </w:r>
      <w:r w:rsidR="00934995">
        <w:t xml:space="preserve">ing paid. Orders for more, or better, financial disclosure can also be made. Notice of what disclosure is missing or required should be identified in the Brief. </w:t>
      </w:r>
    </w:p>
    <w:p w:rsidR="0036789A" w:rsidRPr="00A905C2" w:rsidRDefault="0036789A" w:rsidP="00A27CCF">
      <w:pPr>
        <w:pStyle w:val="MainParagraph"/>
        <w:numPr>
          <w:ilvl w:val="0"/>
          <w:numId w:val="0"/>
        </w:numPr>
        <w:ind w:left="266" w:hanging="357"/>
        <w:rPr>
          <w:b/>
          <w:u w:val="single"/>
        </w:rPr>
      </w:pPr>
      <w:r w:rsidRPr="00A905C2">
        <w:rPr>
          <w:b/>
          <w:u w:val="single"/>
        </w:rPr>
        <w:t>Case Conference Brief</w:t>
      </w:r>
    </w:p>
    <w:p w:rsidR="0036789A" w:rsidRPr="005D3C40" w:rsidRDefault="0036789A" w:rsidP="00A27CCF">
      <w:pPr>
        <w:pStyle w:val="MainParagraph"/>
        <w:spacing w:line="360" w:lineRule="auto"/>
        <w:ind w:left="629" w:hanging="720"/>
      </w:pPr>
      <w:r>
        <w:t>E</w:t>
      </w:r>
      <w:r w:rsidRPr="005D3C40">
        <w:t xml:space="preserve">ach party must file a </w:t>
      </w:r>
      <w:r>
        <w:t>C</w:t>
      </w:r>
      <w:r w:rsidRPr="005D3C40">
        <w:t xml:space="preserve">ase </w:t>
      </w:r>
      <w:r>
        <w:t>C</w:t>
      </w:r>
      <w:r w:rsidRPr="005D3C40">
        <w:t xml:space="preserve">onference </w:t>
      </w:r>
      <w:r>
        <w:t>B</w:t>
      </w:r>
      <w:r w:rsidRPr="005D3C40">
        <w:t xml:space="preserve">rief before the date of the conference. </w:t>
      </w:r>
      <w:r>
        <w:t xml:space="preserve"> I</w:t>
      </w:r>
      <w:r w:rsidRPr="005D3C40">
        <w:t xml:space="preserve">t is a </w:t>
      </w:r>
      <w:r>
        <w:t>F</w:t>
      </w:r>
      <w:r w:rsidRPr="005D3C40">
        <w:t xml:space="preserve">orm </w:t>
      </w:r>
      <w:r>
        <w:t>(1</w:t>
      </w:r>
      <w:r w:rsidRPr="005D3C40">
        <w:t>7</w:t>
      </w:r>
      <w:r>
        <w:t>A)</w:t>
      </w:r>
      <w:r w:rsidRPr="005D3C40">
        <w:t>.</w:t>
      </w:r>
      <w:r>
        <w:t xml:space="preserve">  </w:t>
      </w:r>
      <w:r w:rsidRPr="006C7D6F">
        <w:rPr>
          <w:b/>
        </w:rPr>
        <w:t xml:space="preserve">All </w:t>
      </w:r>
      <w:r w:rsidRPr="005D3C40">
        <w:t>of the form</w:t>
      </w:r>
      <w:r>
        <w:t>’</w:t>
      </w:r>
      <w:r w:rsidRPr="005D3C40">
        <w:t xml:space="preserve">s sections must be completed. </w:t>
      </w:r>
      <w:r>
        <w:t xml:space="preserve"> S</w:t>
      </w:r>
      <w:r w:rsidRPr="005D3C40">
        <w:t>ome sections only require basic information about family members, or answering a checklist.</w:t>
      </w:r>
      <w:r>
        <w:t xml:space="preserve"> </w:t>
      </w:r>
      <w:r w:rsidRPr="005D3C40">
        <w:t xml:space="preserve"> </w:t>
      </w:r>
      <w:r>
        <w:t>O</w:t>
      </w:r>
      <w:r w:rsidRPr="005D3C40">
        <w:t xml:space="preserve">thers require more details about the case and what the party filing the </w:t>
      </w:r>
      <w:r>
        <w:t>B</w:t>
      </w:r>
      <w:r w:rsidRPr="005D3C40">
        <w:t>rief would like to see the conference accomplish, and the judge order.</w:t>
      </w:r>
    </w:p>
    <w:p w:rsidR="002560C4" w:rsidRPr="005D3C40" w:rsidRDefault="0036789A" w:rsidP="00A27CCF">
      <w:pPr>
        <w:pStyle w:val="MainParagraph"/>
        <w:spacing w:line="360" w:lineRule="auto"/>
        <w:ind w:left="629" w:hanging="720"/>
      </w:pPr>
      <w:r>
        <w:t>A</w:t>
      </w:r>
      <w:r w:rsidRPr="005D3C40">
        <w:t xml:space="preserve"> </w:t>
      </w:r>
      <w:r>
        <w:t>C</w:t>
      </w:r>
      <w:r w:rsidRPr="005D3C40">
        <w:t xml:space="preserve">ase </w:t>
      </w:r>
      <w:r>
        <w:t>C</w:t>
      </w:r>
      <w:r w:rsidRPr="005D3C40">
        <w:t xml:space="preserve">onference </w:t>
      </w:r>
      <w:r>
        <w:t>B</w:t>
      </w:r>
      <w:r w:rsidRPr="005D3C40">
        <w:t xml:space="preserve">rief is </w:t>
      </w:r>
      <w:r w:rsidRPr="00934995">
        <w:rPr>
          <w:b/>
        </w:rPr>
        <w:t>NOT</w:t>
      </w:r>
      <w:r w:rsidRPr="005D3C40">
        <w:t xml:space="preserve"> the place to simply repeat the part</w:t>
      </w:r>
      <w:r>
        <w:t xml:space="preserve">y’s </w:t>
      </w:r>
      <w:r w:rsidRPr="005D3C40">
        <w:t>pleadings or to ask for orders on disputed or final issues that a judge cannot make</w:t>
      </w:r>
      <w:r w:rsidR="006C7D6F">
        <w:t xml:space="preserve"> (see above “Orders at a Case Conference”)</w:t>
      </w:r>
      <w:r w:rsidRPr="005D3C40">
        <w:t>.</w:t>
      </w:r>
      <w:r>
        <w:t xml:space="preserve"> </w:t>
      </w:r>
      <w:r w:rsidRPr="005D3C40">
        <w:t xml:space="preserve"> </w:t>
      </w:r>
      <w:r>
        <w:t>K</w:t>
      </w:r>
      <w:r w:rsidRPr="005D3C40">
        <w:t xml:space="preserve">eep in mind the purpose of the </w:t>
      </w:r>
      <w:r>
        <w:t>c</w:t>
      </w:r>
      <w:r w:rsidRPr="005D3C40">
        <w:t xml:space="preserve">onference when preparing your </w:t>
      </w:r>
      <w:r>
        <w:t>B</w:t>
      </w:r>
      <w:r w:rsidRPr="005D3C40">
        <w:t xml:space="preserve">rief. </w:t>
      </w:r>
      <w:r>
        <w:t xml:space="preserve"> L</w:t>
      </w:r>
      <w:r w:rsidRPr="005D3C40">
        <w:t xml:space="preserve">engthy </w:t>
      </w:r>
      <w:r w:rsidR="00044707">
        <w:t>b</w:t>
      </w:r>
      <w:r w:rsidRPr="005D3C40">
        <w:t xml:space="preserve">riefs, </w:t>
      </w:r>
      <w:r w:rsidR="00044707">
        <w:t>b</w:t>
      </w:r>
      <w:r w:rsidRPr="005D3C40">
        <w:t xml:space="preserve">riefs containing material irrelevant to the </w:t>
      </w:r>
      <w:r>
        <w:t>C</w:t>
      </w:r>
      <w:r w:rsidRPr="005D3C40">
        <w:t xml:space="preserve">ase </w:t>
      </w:r>
      <w:r>
        <w:t>C</w:t>
      </w:r>
      <w:r w:rsidR="008D5750">
        <w:t>onference issues, baseless allegations and</w:t>
      </w:r>
      <w:r w:rsidRPr="005D3C40">
        <w:t xml:space="preserve"> accusatory</w:t>
      </w:r>
      <w:r w:rsidR="008D5750">
        <w:t>, inflammatory</w:t>
      </w:r>
      <w:r w:rsidRPr="005D3C40">
        <w:t xml:space="preserve"> and unprofessional language are unacceptable and could result in an </w:t>
      </w:r>
      <w:r>
        <w:t>O</w:t>
      </w:r>
      <w:r w:rsidRPr="005D3C40">
        <w:t xml:space="preserve">rder </w:t>
      </w:r>
      <w:r>
        <w:t xml:space="preserve">for </w:t>
      </w:r>
      <w:r w:rsidRPr="005D3C40">
        <w:t>costs being made against the offending party.</w:t>
      </w:r>
    </w:p>
    <w:p w:rsidR="0036789A" w:rsidRDefault="0036789A" w:rsidP="00A27CCF">
      <w:pPr>
        <w:pStyle w:val="MainParagraph"/>
        <w:spacing w:line="360" w:lineRule="auto"/>
        <w:ind w:left="629" w:hanging="720"/>
      </w:pPr>
      <w:r>
        <w:t>B</w:t>
      </w:r>
      <w:r w:rsidRPr="005D3C40">
        <w:t xml:space="preserve">riefs should be prepared with a view to a realistic agenda that can be fairly addressed by both sides in the time available with the court that day </w:t>
      </w:r>
      <w:r>
        <w:t>(</w:t>
      </w:r>
      <w:r w:rsidR="007550CF">
        <w:t>45 minutes</w:t>
      </w:r>
      <w:r>
        <w:t>)</w:t>
      </w:r>
      <w:r w:rsidRPr="005D3C40">
        <w:t xml:space="preserve">. </w:t>
      </w:r>
      <w:r w:rsidR="00CC6B90">
        <w:t xml:space="preserve"> </w:t>
      </w:r>
      <w:r>
        <w:t>B</w:t>
      </w:r>
      <w:r w:rsidR="00934995">
        <w:t>riefs are</w:t>
      </w:r>
      <w:r w:rsidRPr="005D3C40">
        <w:t xml:space="preserve"> restr</w:t>
      </w:r>
      <w:r w:rsidR="00934995">
        <w:t>icted to no more than six pages. Anything longer may not be read.</w:t>
      </w:r>
      <w:r>
        <w:t xml:space="preserve"> </w:t>
      </w:r>
    </w:p>
    <w:p w:rsidR="002560C4" w:rsidRPr="00CC6B90" w:rsidRDefault="009F45C4" w:rsidP="00A27CCF">
      <w:pPr>
        <w:pStyle w:val="MainParagraph"/>
        <w:spacing w:line="360" w:lineRule="auto"/>
        <w:ind w:left="629" w:hanging="720"/>
        <w:rPr>
          <w:color w:val="222222"/>
          <w:lang w:val="en"/>
        </w:rPr>
      </w:pPr>
      <w:r w:rsidRPr="00C56230">
        <w:rPr>
          <w:b/>
          <w:color w:val="222222"/>
          <w:lang w:val="en"/>
        </w:rPr>
        <w:t>A case conference should never be the first time for the parties or their lawyers to meet or to discuss the issues for the conference, or the case.</w:t>
      </w:r>
      <w:r w:rsidR="00C56230">
        <w:rPr>
          <w:color w:val="222222"/>
          <w:lang w:val="en"/>
        </w:rPr>
        <w:t xml:space="preserve"> Paragraph 8 of Form 17A specifically asks whether the parties have explored </w:t>
      </w:r>
      <w:r w:rsidR="00C56230" w:rsidRPr="00C56230">
        <w:rPr>
          <w:color w:val="222222"/>
          <w:u w:val="single"/>
          <w:lang w:val="en"/>
        </w:rPr>
        <w:t>before the case conference</w:t>
      </w:r>
      <w:r w:rsidR="00C56230">
        <w:rPr>
          <w:color w:val="222222"/>
          <w:lang w:val="en"/>
        </w:rPr>
        <w:t xml:space="preserve"> settle</w:t>
      </w:r>
      <w:r w:rsidR="00F6727F">
        <w:rPr>
          <w:color w:val="222222"/>
          <w:lang w:val="en"/>
        </w:rPr>
        <w:t>ment of</w:t>
      </w:r>
      <w:r w:rsidR="00C56230">
        <w:rPr>
          <w:color w:val="222222"/>
          <w:lang w:val="en"/>
        </w:rPr>
        <w:t xml:space="preserve"> any outstanding issues still being disputed</w:t>
      </w:r>
      <w:r w:rsidR="00F6727F">
        <w:rPr>
          <w:color w:val="222222"/>
          <w:lang w:val="en"/>
        </w:rPr>
        <w:t xml:space="preserve"> and, if so, to give details of those efforts.</w:t>
      </w:r>
      <w:r w:rsidR="00C56230">
        <w:rPr>
          <w:color w:val="222222"/>
          <w:lang w:val="en"/>
        </w:rPr>
        <w:t xml:space="preserve"> </w:t>
      </w:r>
      <w:r w:rsidR="00F6727F">
        <w:rPr>
          <w:color w:val="222222"/>
          <w:lang w:val="en"/>
        </w:rPr>
        <w:t>See “Costs” below about a judge’s authority to order that a party pay costs where they don’t comply with the Rules.</w:t>
      </w:r>
    </w:p>
    <w:p w:rsidR="00CC6B90" w:rsidRDefault="00CC6B90" w:rsidP="00A27CCF">
      <w:pPr>
        <w:pStyle w:val="MainParagraph"/>
        <w:spacing w:line="360" w:lineRule="auto"/>
        <w:ind w:left="629" w:hanging="720"/>
        <w:rPr>
          <w:color w:val="222222"/>
          <w:lang w:val="en"/>
        </w:rPr>
      </w:pPr>
      <w:r>
        <w:rPr>
          <w:color w:val="222222"/>
          <w:lang w:val="en"/>
        </w:rPr>
        <w:t>Paragraphs 14-18 of the regional Practice Direction have</w:t>
      </w:r>
      <w:r w:rsidRPr="00CC6B90">
        <w:rPr>
          <w:color w:val="222222"/>
          <w:lang w:val="en"/>
        </w:rPr>
        <w:t xml:space="preserve"> more information about the conferen</w:t>
      </w:r>
      <w:r>
        <w:rPr>
          <w:color w:val="222222"/>
          <w:lang w:val="en"/>
        </w:rPr>
        <w:t>ce process and what is expected of the parties.</w:t>
      </w:r>
      <w:r w:rsidRPr="00CC6B90">
        <w:rPr>
          <w:color w:val="222222"/>
          <w:lang w:val="en"/>
        </w:rPr>
        <w:t xml:space="preserve"> </w:t>
      </w:r>
    </w:p>
    <w:p w:rsidR="00A27CCF" w:rsidRDefault="00A27CCF" w:rsidP="00A27CCF">
      <w:pPr>
        <w:pStyle w:val="MainParagraph"/>
        <w:numPr>
          <w:ilvl w:val="0"/>
          <w:numId w:val="0"/>
        </w:numPr>
        <w:spacing w:line="360" w:lineRule="auto"/>
        <w:ind w:left="-91"/>
        <w:rPr>
          <w:color w:val="222222"/>
          <w:lang w:val="en"/>
        </w:rPr>
      </w:pPr>
    </w:p>
    <w:p w:rsidR="00A27CCF" w:rsidRPr="00CC6B90" w:rsidRDefault="00A27CCF" w:rsidP="00A27CCF">
      <w:pPr>
        <w:pStyle w:val="MainParagraph"/>
        <w:numPr>
          <w:ilvl w:val="0"/>
          <w:numId w:val="0"/>
        </w:numPr>
        <w:spacing w:line="360" w:lineRule="auto"/>
        <w:ind w:left="-91"/>
        <w:rPr>
          <w:color w:val="222222"/>
          <w:lang w:val="en"/>
        </w:rPr>
      </w:pPr>
    </w:p>
    <w:p w:rsidR="00333F50" w:rsidRPr="00587D09" w:rsidRDefault="00333F50" w:rsidP="00A27CCF">
      <w:pPr>
        <w:pStyle w:val="MainParagraph"/>
        <w:numPr>
          <w:ilvl w:val="0"/>
          <w:numId w:val="0"/>
        </w:numPr>
        <w:ind w:left="629" w:hanging="720"/>
        <w:rPr>
          <w:b/>
          <w:u w:val="single"/>
        </w:rPr>
      </w:pPr>
      <w:r w:rsidRPr="00587D09">
        <w:rPr>
          <w:b/>
          <w:u w:val="single"/>
        </w:rPr>
        <w:t>Financial Disclosure</w:t>
      </w:r>
    </w:p>
    <w:p w:rsidR="00EC0B26" w:rsidRDefault="00EC0B26" w:rsidP="00A27CCF">
      <w:pPr>
        <w:pStyle w:val="MainParagraph"/>
        <w:spacing w:line="360" w:lineRule="auto"/>
        <w:ind w:left="629" w:hanging="720"/>
      </w:pPr>
      <w:r w:rsidRPr="00613603">
        <w:rPr>
          <w:b/>
        </w:rPr>
        <w:t>Meaningful financial disclosure is required for every family law case involving property and support issues.</w:t>
      </w:r>
      <w:r w:rsidRPr="00A248EC">
        <w:t xml:space="preserve">  The Ontario Court of Appeal has emphasized this repeatedly</w:t>
      </w:r>
      <w:r w:rsidR="000E6C9D">
        <w:t xml:space="preserve"> (</w:t>
      </w:r>
      <w:r w:rsidR="000E6C9D" w:rsidRPr="00A248EC">
        <w:rPr>
          <w:i/>
        </w:rPr>
        <w:t>Roberts v. Roberts</w:t>
      </w:r>
      <w:r w:rsidR="000E6C9D">
        <w:t>, 2015 ONCA 450 (</w:t>
      </w:r>
      <w:proofErr w:type="spellStart"/>
      <w:r w:rsidR="000E6C9D">
        <w:t>CanLII</w:t>
      </w:r>
      <w:proofErr w:type="spellEnd"/>
      <w:r w:rsidR="000E6C9D">
        <w:t>)</w:t>
      </w:r>
      <w:r w:rsidR="006C7D6F">
        <w:t>).</w:t>
      </w:r>
    </w:p>
    <w:p w:rsidR="00A248EC" w:rsidRDefault="006C7D6F" w:rsidP="00CB41A8">
      <w:pPr>
        <w:pStyle w:val="MainParagraph"/>
        <w:numPr>
          <w:ilvl w:val="0"/>
          <w:numId w:val="0"/>
        </w:numPr>
        <w:tabs>
          <w:tab w:val="left" w:pos="7920"/>
        </w:tabs>
        <w:spacing w:after="120"/>
        <w:ind w:left="1440" w:right="1440"/>
      </w:pPr>
      <w:r>
        <w:t>“</w:t>
      </w:r>
      <w:r w:rsidR="00A248EC">
        <w:t>The most basic obligation in family law is the duty to disclose financial information.  This requirement is immediate and ongoing.</w:t>
      </w:r>
    </w:p>
    <w:p w:rsidR="00A248EC" w:rsidRDefault="00A248EC" w:rsidP="00CB41A8">
      <w:pPr>
        <w:pStyle w:val="MainParagraph"/>
        <w:numPr>
          <w:ilvl w:val="0"/>
          <w:numId w:val="0"/>
        </w:numPr>
        <w:tabs>
          <w:tab w:val="left" w:pos="7920"/>
        </w:tabs>
        <w:spacing w:after="120"/>
        <w:ind w:left="1440" w:right="1440"/>
      </w:pPr>
      <w:r>
        <w:t>Failure to abide by this fundamental principle impedes the progress of the action, causes delay and generally acts to the disadvantage of the opposite party.  It also impacts on the administration of justice.  Unnecessary judicial time is spent and the final adjudication is stalled.</w:t>
      </w:r>
      <w:r w:rsidR="006C7D6F">
        <w:t>”</w:t>
      </w:r>
    </w:p>
    <w:p w:rsidR="00A248EC" w:rsidRDefault="00A248EC" w:rsidP="00A27CCF">
      <w:pPr>
        <w:pStyle w:val="MainParagraph"/>
        <w:numPr>
          <w:ilvl w:val="0"/>
          <w:numId w:val="0"/>
        </w:numPr>
        <w:tabs>
          <w:tab w:val="left" w:pos="7920"/>
        </w:tabs>
        <w:ind w:left="1440" w:right="1440"/>
      </w:pPr>
      <w:r>
        <w:t>Financial disclosure is automatic.  It should not require court orders – let alone three to obtain production.</w:t>
      </w:r>
      <w:r w:rsidR="006C7D6F">
        <w:t>”</w:t>
      </w:r>
    </w:p>
    <w:p w:rsidR="00333F50" w:rsidRDefault="00333F50" w:rsidP="00A27CCF">
      <w:pPr>
        <w:pStyle w:val="MainParagraph"/>
        <w:spacing w:line="360" w:lineRule="auto"/>
        <w:ind w:left="629" w:hanging="720"/>
      </w:pPr>
      <w:r>
        <w:t xml:space="preserve">Financial disclosure already made </w:t>
      </w:r>
      <w:r w:rsidRPr="006C7D6F">
        <w:rPr>
          <w:b/>
        </w:rPr>
        <w:t>must</w:t>
      </w:r>
      <w:r>
        <w:t xml:space="preserve"> be updated for the Case Conference.  Rules 13(12), (12.1) and (12.2) </w:t>
      </w:r>
      <w:r w:rsidRPr="00ED7382">
        <w:t>1. and 2 provide as follows</w:t>
      </w:r>
      <w:r>
        <w:t>,</w:t>
      </w:r>
    </w:p>
    <w:p w:rsidR="00333F50" w:rsidRPr="007C68C5" w:rsidRDefault="00333F50" w:rsidP="00A27CCF">
      <w:pPr>
        <w:pStyle w:val="MainParagraph"/>
        <w:numPr>
          <w:ilvl w:val="0"/>
          <w:numId w:val="0"/>
        </w:numPr>
        <w:spacing w:after="120"/>
        <w:ind w:left="1440" w:right="1440"/>
        <w:rPr>
          <w:b/>
          <w:lang w:val="en-GB"/>
        </w:rPr>
      </w:pPr>
      <w:r w:rsidRPr="0036789A">
        <w:rPr>
          <w:lang w:val="en-GB"/>
        </w:rPr>
        <w:t>13</w:t>
      </w:r>
      <w:hyperlink r:id="rId8" w:anchor="s13s12" w:history="1">
        <w:r w:rsidRPr="0036789A">
          <w:rPr>
            <w:rStyle w:val="Hyperlink"/>
            <w:color w:val="auto"/>
            <w:lang w:val="en-US"/>
          </w:rPr>
          <w:t>(12)</w:t>
        </w:r>
      </w:hyperlink>
      <w:r w:rsidRPr="0036789A">
        <w:rPr>
          <w:lang w:val="en-GB"/>
        </w:rPr>
        <w:t xml:space="preserve">  Before any … case conference … </w:t>
      </w:r>
      <w:r w:rsidRPr="007C68C5">
        <w:rPr>
          <w:b/>
          <w:lang w:val="en-GB"/>
        </w:rPr>
        <w:t>each party shall update the information in any financial statement that is more than 30 days old by serving and filing,</w:t>
      </w:r>
    </w:p>
    <w:p w:rsidR="00333F50" w:rsidRPr="0036789A" w:rsidRDefault="00333F50" w:rsidP="00A27CCF">
      <w:pPr>
        <w:pStyle w:val="MainParagraph"/>
        <w:numPr>
          <w:ilvl w:val="0"/>
          <w:numId w:val="0"/>
        </w:numPr>
        <w:spacing w:after="120"/>
        <w:ind w:left="1865" w:right="1440" w:hanging="425"/>
        <w:rPr>
          <w:lang w:val="en-GB"/>
        </w:rPr>
      </w:pPr>
      <w:r w:rsidRPr="0036789A">
        <w:rPr>
          <w:lang w:val="en-GB"/>
        </w:rPr>
        <w:t>(a)</w:t>
      </w:r>
      <w:r w:rsidRPr="0036789A">
        <w:rPr>
          <w:lang w:val="en-GB"/>
        </w:rPr>
        <w:tab/>
      </w:r>
      <w:proofErr w:type="gramStart"/>
      <w:r w:rsidRPr="0036789A">
        <w:rPr>
          <w:lang w:val="en-GB"/>
        </w:rPr>
        <w:t>a</w:t>
      </w:r>
      <w:proofErr w:type="gramEnd"/>
      <w:r w:rsidRPr="0036789A">
        <w:rPr>
          <w:lang w:val="en-GB"/>
        </w:rPr>
        <w:t xml:space="preserve"> new financial statement; or</w:t>
      </w:r>
    </w:p>
    <w:p w:rsidR="00333F50" w:rsidRPr="0036789A" w:rsidRDefault="00333F50" w:rsidP="00A27CCF">
      <w:pPr>
        <w:pStyle w:val="MainParagraph"/>
        <w:numPr>
          <w:ilvl w:val="0"/>
          <w:numId w:val="0"/>
        </w:numPr>
        <w:spacing w:after="120"/>
        <w:ind w:left="1865" w:right="1440" w:hanging="425"/>
        <w:rPr>
          <w:lang w:val="en-GB"/>
        </w:rPr>
      </w:pPr>
      <w:r w:rsidRPr="0036789A">
        <w:rPr>
          <w:lang w:val="en-GB"/>
        </w:rPr>
        <w:t>(b)</w:t>
      </w:r>
      <w:r w:rsidRPr="0036789A">
        <w:rPr>
          <w:lang w:val="en-GB"/>
        </w:rPr>
        <w:tab/>
      </w:r>
      <w:proofErr w:type="gramStart"/>
      <w:r w:rsidRPr="0036789A">
        <w:rPr>
          <w:lang w:val="en-GB"/>
        </w:rPr>
        <w:t>an</w:t>
      </w:r>
      <w:proofErr w:type="gramEnd"/>
      <w:r w:rsidRPr="0036789A">
        <w:rPr>
          <w:lang w:val="en-GB"/>
        </w:rPr>
        <w:t xml:space="preserve"> affidavit saying that the information in the last statement has not changed and is still true.  </w:t>
      </w:r>
    </w:p>
    <w:p w:rsidR="00333F50" w:rsidRPr="0036789A" w:rsidRDefault="00333F50" w:rsidP="00A27CCF">
      <w:pPr>
        <w:pStyle w:val="MainParagraph"/>
        <w:numPr>
          <w:ilvl w:val="0"/>
          <w:numId w:val="0"/>
        </w:numPr>
        <w:spacing w:after="120"/>
        <w:ind w:left="1440" w:right="1440"/>
        <w:rPr>
          <w:rStyle w:val="Hyperlink"/>
          <w:color w:val="auto"/>
          <w:lang w:val="en-US"/>
        </w:rPr>
      </w:pPr>
      <w:bookmarkStart w:id="1" w:name="s13s12p1"/>
      <w:bookmarkEnd w:id="1"/>
      <w:r w:rsidRPr="0036789A">
        <w:rPr>
          <w:rStyle w:val="Hyperlink"/>
          <w:color w:val="auto"/>
          <w:lang w:val="en-US"/>
        </w:rPr>
        <w:t>13</w:t>
      </w:r>
      <w:hyperlink r:id="rId9" w:anchor="s13s12p1" w:history="1">
        <w:r w:rsidRPr="0036789A">
          <w:rPr>
            <w:rStyle w:val="Hyperlink"/>
            <w:color w:val="auto"/>
            <w:lang w:val="en-US"/>
          </w:rPr>
          <w:t>(12.1)</w:t>
        </w:r>
      </w:hyperlink>
      <w:r w:rsidRPr="0036789A">
        <w:rPr>
          <w:rStyle w:val="Hyperlink"/>
          <w:color w:val="auto"/>
          <w:lang w:val="en-US"/>
        </w:rPr>
        <w:t xml:space="preserve">  If there have been minor changes but no major changes to the information in a party’s past statement, the party may serve and file, instead of a new financial statement, an affidavit with details of the changes.  </w:t>
      </w:r>
    </w:p>
    <w:p w:rsidR="00333F50" w:rsidRPr="0036789A" w:rsidRDefault="00333F50" w:rsidP="00A27CCF">
      <w:pPr>
        <w:pStyle w:val="MainParagraph"/>
        <w:numPr>
          <w:ilvl w:val="0"/>
          <w:numId w:val="0"/>
        </w:numPr>
        <w:spacing w:after="120"/>
        <w:ind w:left="1440" w:right="1440"/>
        <w:rPr>
          <w:rStyle w:val="Hyperlink"/>
          <w:color w:val="auto"/>
          <w:lang w:val="en-US"/>
        </w:rPr>
      </w:pPr>
      <w:bookmarkStart w:id="2" w:name="s13s12p2"/>
      <w:bookmarkEnd w:id="2"/>
      <w:r w:rsidRPr="0036789A">
        <w:rPr>
          <w:rStyle w:val="Hyperlink"/>
          <w:color w:val="auto"/>
          <w:lang w:val="en-US"/>
        </w:rPr>
        <w:t>13</w:t>
      </w:r>
      <w:hyperlink r:id="rId10" w:anchor="s13s12p2" w:history="1">
        <w:r w:rsidRPr="0036789A">
          <w:rPr>
            <w:rStyle w:val="Hyperlink"/>
            <w:color w:val="auto"/>
            <w:lang w:val="en-US"/>
          </w:rPr>
          <w:t>(12.2)</w:t>
        </w:r>
      </w:hyperlink>
      <w:r w:rsidRPr="0036789A">
        <w:rPr>
          <w:rStyle w:val="Hyperlink"/>
          <w:color w:val="auto"/>
          <w:lang w:val="en-US"/>
        </w:rPr>
        <w:t>  </w:t>
      </w:r>
      <w:proofErr w:type="gramStart"/>
      <w:r w:rsidRPr="0036789A">
        <w:rPr>
          <w:rStyle w:val="Hyperlink"/>
          <w:color w:val="auto"/>
          <w:lang w:val="en-US"/>
        </w:rPr>
        <w:t>The</w:t>
      </w:r>
      <w:proofErr w:type="gramEnd"/>
      <w:r w:rsidRPr="0036789A">
        <w:rPr>
          <w:rStyle w:val="Hyperlink"/>
          <w:color w:val="auto"/>
          <w:lang w:val="en-US"/>
        </w:rPr>
        <w:t xml:space="preserve"> material described in </w:t>
      </w:r>
      <w:proofErr w:type="spellStart"/>
      <w:r w:rsidRPr="0036789A">
        <w:rPr>
          <w:rStyle w:val="Hyperlink"/>
          <w:color w:val="auto"/>
          <w:lang w:val="en-US"/>
        </w:rPr>
        <w:t>subrules</w:t>
      </w:r>
      <w:proofErr w:type="spellEnd"/>
      <w:r w:rsidRPr="0036789A">
        <w:rPr>
          <w:rStyle w:val="Hyperlink"/>
          <w:color w:val="auto"/>
          <w:lang w:val="en-US"/>
        </w:rPr>
        <w:t xml:space="preserve"> (12) and (12.1) shall be served and filed as follows:</w:t>
      </w:r>
    </w:p>
    <w:p w:rsidR="00333F50" w:rsidRPr="00ED7382" w:rsidRDefault="00333F50" w:rsidP="00A27CCF">
      <w:pPr>
        <w:pStyle w:val="MainParagraph"/>
        <w:numPr>
          <w:ilvl w:val="0"/>
          <w:numId w:val="0"/>
        </w:numPr>
        <w:spacing w:after="120"/>
        <w:ind w:left="1843" w:right="1440" w:hanging="403"/>
        <w:rPr>
          <w:lang w:val="en-GB"/>
        </w:rPr>
      </w:pPr>
      <w:r w:rsidRPr="00ED7382">
        <w:rPr>
          <w:lang w:val="en-GB"/>
        </w:rPr>
        <w:t>1.</w:t>
      </w:r>
      <w:r w:rsidRPr="00ED7382">
        <w:rPr>
          <w:lang w:val="en-GB"/>
        </w:rPr>
        <w:tab/>
      </w:r>
      <w:r w:rsidRPr="007C68C5">
        <w:rPr>
          <w:b/>
          <w:lang w:val="en-GB"/>
        </w:rPr>
        <w:t>For a … case conference requested by a party</w:t>
      </w:r>
      <w:r w:rsidRPr="00ED7382">
        <w:rPr>
          <w:lang w:val="en-GB"/>
        </w:rPr>
        <w:t xml:space="preserve">, the requesting party shall serve and file </w:t>
      </w:r>
      <w:r w:rsidRPr="007C68C5">
        <w:rPr>
          <w:b/>
          <w:lang w:val="en-GB"/>
        </w:rPr>
        <w:t xml:space="preserve">at least seven days before the conference </w:t>
      </w:r>
      <w:r w:rsidRPr="00ED7382">
        <w:rPr>
          <w:lang w:val="en-GB"/>
        </w:rPr>
        <w:t>date and the other party shall serve and file at least four days before that date.</w:t>
      </w:r>
    </w:p>
    <w:p w:rsidR="00333F50" w:rsidRDefault="00333F50" w:rsidP="007C68C5">
      <w:pPr>
        <w:pStyle w:val="MainParagraph"/>
        <w:numPr>
          <w:ilvl w:val="0"/>
          <w:numId w:val="0"/>
        </w:numPr>
        <w:ind w:left="1843" w:right="1440" w:hanging="403"/>
        <w:rPr>
          <w:lang w:val="en-GB"/>
        </w:rPr>
      </w:pPr>
      <w:r w:rsidRPr="00ED7382">
        <w:rPr>
          <w:lang w:val="en-GB"/>
        </w:rPr>
        <w:t>2.</w:t>
      </w:r>
      <w:r w:rsidRPr="00ED7382">
        <w:rPr>
          <w:lang w:val="en-GB"/>
        </w:rPr>
        <w:tab/>
      </w:r>
      <w:r w:rsidRPr="007C68C5">
        <w:rPr>
          <w:b/>
          <w:lang w:val="en-GB"/>
        </w:rPr>
        <w:t>For a … case conference that is not requested by a party</w:t>
      </w:r>
      <w:r w:rsidRPr="00ED7382">
        <w:rPr>
          <w:lang w:val="en-GB"/>
        </w:rPr>
        <w:t xml:space="preserve">, the applicant shall serve </w:t>
      </w:r>
      <w:r w:rsidRPr="007C68C5">
        <w:rPr>
          <w:b/>
          <w:lang w:val="en-GB"/>
        </w:rPr>
        <w:t>and file at least seven days before the conference date</w:t>
      </w:r>
      <w:r w:rsidRPr="00ED7382">
        <w:rPr>
          <w:lang w:val="en-GB"/>
        </w:rPr>
        <w:t xml:space="preserve"> and the respondent shall serve and file at least four days before that date.</w:t>
      </w:r>
    </w:p>
    <w:p w:rsidR="00CB41A8" w:rsidRDefault="00CB41A8" w:rsidP="00CB41A8">
      <w:pPr>
        <w:pStyle w:val="MainParagraph"/>
        <w:numPr>
          <w:ilvl w:val="0"/>
          <w:numId w:val="0"/>
        </w:numPr>
        <w:ind w:left="630" w:right="1440" w:hanging="360"/>
        <w:rPr>
          <w:lang w:val="en-GB"/>
        </w:rPr>
      </w:pPr>
    </w:p>
    <w:p w:rsidR="00EC0B26" w:rsidRPr="00B456DB" w:rsidRDefault="00EC0B26" w:rsidP="00EC0B26">
      <w:pPr>
        <w:pStyle w:val="MainParagraph"/>
        <w:numPr>
          <w:ilvl w:val="0"/>
          <w:numId w:val="0"/>
        </w:numPr>
        <w:ind w:left="1440" w:right="1440" w:hanging="1530"/>
        <w:rPr>
          <w:b/>
          <w:u w:val="single"/>
          <w:lang w:val="en-GB"/>
        </w:rPr>
      </w:pPr>
      <w:r w:rsidRPr="00B456DB">
        <w:rPr>
          <w:b/>
          <w:u w:val="single"/>
          <w:lang w:val="en-GB"/>
        </w:rPr>
        <w:t>Certificate of Financial Disclosure</w:t>
      </w:r>
    </w:p>
    <w:p w:rsidR="00F73886" w:rsidRDefault="004B5927" w:rsidP="00B2340E">
      <w:pPr>
        <w:pStyle w:val="MainParagraph"/>
        <w:spacing w:line="360" w:lineRule="auto"/>
        <w:ind w:hanging="720"/>
      </w:pPr>
      <w:r>
        <w:t xml:space="preserve">Each party to a case must file and serve documents of a financial nature relating to their case depending on whether their case only involves child and spousal support </w:t>
      </w:r>
      <w:r w:rsidR="00232BF1">
        <w:t>and/or property claims</w:t>
      </w:r>
      <w:r>
        <w:t xml:space="preserve">.  Some documents must be served with the party’s Financial Statement – these are identified in Rule 13(3.1) dealing with support claims and </w:t>
      </w:r>
      <w:r w:rsidR="00232BF1">
        <w:t xml:space="preserve">they </w:t>
      </w:r>
      <w:r>
        <w:t xml:space="preserve">involve certain income and proof of child expense documents.  </w:t>
      </w:r>
    </w:p>
    <w:p w:rsidR="001036FA" w:rsidRDefault="004B5927" w:rsidP="00B2340E">
      <w:pPr>
        <w:pStyle w:val="MainParagraph"/>
        <w:spacing w:line="360" w:lineRule="auto"/>
        <w:ind w:hanging="720"/>
      </w:pPr>
      <w:r>
        <w:t xml:space="preserve">Where property claims are involved, Rule 13(3.3) lists what must also be served on the other party “no later than 30 days” after the date by which the party’s Financial Statement must be served.  The list corresponds </w:t>
      </w:r>
      <w:proofErr w:type="gramStart"/>
      <w:r>
        <w:t>to</w:t>
      </w:r>
      <w:proofErr w:type="gramEnd"/>
      <w:r>
        <w:t xml:space="preserve"> many of the several Parts of the Financial Statement.  There must accompany the listed documents </w:t>
      </w:r>
      <w:r w:rsidR="006C7D6F">
        <w:t xml:space="preserve">being </w:t>
      </w:r>
      <w:r>
        <w:t>served what is known as a “</w:t>
      </w:r>
      <w:r w:rsidR="001036FA" w:rsidRPr="00613603">
        <w:rPr>
          <w:b/>
        </w:rPr>
        <w:t>Certificate of Financial Disclosure</w:t>
      </w:r>
      <w:r>
        <w:t>” (</w:t>
      </w:r>
      <w:r w:rsidR="00C91C1E">
        <w:t>F</w:t>
      </w:r>
      <w:r>
        <w:t xml:space="preserve">orm 13A).  This Certificate must be signed by the party </w:t>
      </w:r>
      <w:r w:rsidR="006C7D6F">
        <w:t xml:space="preserve">and filed with the court </w:t>
      </w:r>
      <w:r>
        <w:t xml:space="preserve">before a </w:t>
      </w:r>
      <w:r w:rsidR="006C7D6F">
        <w:t xml:space="preserve">scheduled </w:t>
      </w:r>
      <w:r w:rsidR="00A51C50">
        <w:t>C</w:t>
      </w:r>
      <w:r>
        <w:t xml:space="preserve">ase </w:t>
      </w:r>
      <w:r w:rsidR="00A51C50">
        <w:t>C</w:t>
      </w:r>
      <w:r>
        <w:t>onference or motion (Rule 13(5.0.2))</w:t>
      </w:r>
      <w:r w:rsidR="006C7D6F">
        <w:t>.  I</w:t>
      </w:r>
      <w:r>
        <w:t>f there ha</w:t>
      </w:r>
      <w:r w:rsidR="003A4903">
        <w:t>ve</w:t>
      </w:r>
      <w:r>
        <w:t xml:space="preserve"> been Financial Statement changes or other documents discovered</w:t>
      </w:r>
      <w:r w:rsidR="00232BF1">
        <w:t xml:space="preserve"> or</w:t>
      </w:r>
      <w:r>
        <w:t xml:space="preserve"> whose service was overlooked, the Certificate must be updated (and the additional documents served) before a settlement or trial management conference (Rule 13(13.1)).  The other party has the same obligation.</w:t>
      </w:r>
    </w:p>
    <w:p w:rsidR="004B5927" w:rsidRDefault="004B5927" w:rsidP="00A27CCF">
      <w:pPr>
        <w:pStyle w:val="MainParagraph"/>
        <w:ind w:left="629" w:hanging="720"/>
      </w:pPr>
      <w:r>
        <w:t>Appendix ‘A’ sets out the mandatory disclosure and filing requirements.</w:t>
      </w:r>
    </w:p>
    <w:p w:rsidR="0036789A" w:rsidRPr="00D00C80" w:rsidRDefault="0036789A" w:rsidP="00A27CCF">
      <w:pPr>
        <w:pStyle w:val="MainParagraph"/>
        <w:numPr>
          <w:ilvl w:val="0"/>
          <w:numId w:val="0"/>
        </w:numPr>
        <w:ind w:left="629" w:hanging="720"/>
        <w:rPr>
          <w:b/>
          <w:u w:val="single"/>
        </w:rPr>
      </w:pPr>
      <w:r w:rsidRPr="00D00C80">
        <w:rPr>
          <w:b/>
          <w:u w:val="single"/>
        </w:rPr>
        <w:t>Service and Filing of Briefs</w:t>
      </w:r>
    </w:p>
    <w:p w:rsidR="0036789A" w:rsidRDefault="0036789A" w:rsidP="00A27CCF">
      <w:pPr>
        <w:pStyle w:val="MainParagraph"/>
        <w:spacing w:line="360" w:lineRule="auto"/>
        <w:ind w:left="629" w:hanging="720"/>
      </w:pPr>
      <w:r>
        <w:t>T</w:t>
      </w:r>
      <w:r w:rsidRPr="005D3C40">
        <w:t xml:space="preserve">here are different rules for the applicant and respondent for serving their </w:t>
      </w:r>
      <w:r w:rsidR="00044707">
        <w:t>B</w:t>
      </w:r>
      <w:r w:rsidRPr="005D3C40">
        <w:t xml:space="preserve">riefs: </w:t>
      </w:r>
      <w:r w:rsidRPr="006163E8">
        <w:rPr>
          <w:b/>
        </w:rPr>
        <w:t>the applicant</w:t>
      </w:r>
      <w:r w:rsidRPr="005D3C40">
        <w:t xml:space="preserve"> </w:t>
      </w:r>
      <w:r w:rsidRPr="006163E8">
        <w:rPr>
          <w:b/>
        </w:rPr>
        <w:t xml:space="preserve">must serve </w:t>
      </w:r>
      <w:r w:rsidR="006163E8" w:rsidRPr="006163E8">
        <w:rPr>
          <w:b/>
        </w:rPr>
        <w:t>and file with the court</w:t>
      </w:r>
      <w:r w:rsidR="006163E8">
        <w:t xml:space="preserve"> </w:t>
      </w:r>
      <w:r w:rsidRPr="005D3C40">
        <w:t xml:space="preserve">their </w:t>
      </w:r>
      <w:r w:rsidR="00044707">
        <w:t>B</w:t>
      </w:r>
      <w:r w:rsidRPr="005D3C40">
        <w:t xml:space="preserve">rief on the respondent at least </w:t>
      </w:r>
      <w:r w:rsidRPr="008277B2">
        <w:rPr>
          <w:b/>
        </w:rPr>
        <w:t>s</w:t>
      </w:r>
      <w:r w:rsidR="00880502">
        <w:rPr>
          <w:b/>
        </w:rPr>
        <w:t>ix</w:t>
      </w:r>
      <w:r w:rsidRPr="008277B2">
        <w:rPr>
          <w:b/>
        </w:rPr>
        <w:t xml:space="preserve"> days</w:t>
      </w:r>
      <w:r w:rsidRPr="005D3C40">
        <w:t xml:space="preserve"> before the conference date, and </w:t>
      </w:r>
      <w:r w:rsidRPr="006163E8">
        <w:rPr>
          <w:b/>
        </w:rPr>
        <w:t xml:space="preserve">the respondent must serve </w:t>
      </w:r>
      <w:r w:rsidR="006163E8" w:rsidRPr="006163E8">
        <w:rPr>
          <w:b/>
        </w:rPr>
        <w:t>and file with the court</w:t>
      </w:r>
      <w:r w:rsidR="006163E8">
        <w:t xml:space="preserve"> </w:t>
      </w:r>
      <w:r w:rsidR="00044707">
        <w:t>their B</w:t>
      </w:r>
      <w:r w:rsidRPr="005D3C40">
        <w:t xml:space="preserve">rief </w:t>
      </w:r>
      <w:r w:rsidRPr="008277B2">
        <w:rPr>
          <w:b/>
        </w:rPr>
        <w:t>four days</w:t>
      </w:r>
      <w:r w:rsidRPr="005D3C40">
        <w:t xml:space="preserve"> before the conference date. </w:t>
      </w:r>
      <w:r>
        <w:t xml:space="preserve"> </w:t>
      </w:r>
    </w:p>
    <w:tbl>
      <w:tblPr>
        <w:tblStyle w:val="TableGrid"/>
        <w:tblW w:w="0" w:type="auto"/>
        <w:jc w:val="center"/>
        <w:tblLook w:val="04A0" w:firstRow="1" w:lastRow="0" w:firstColumn="1" w:lastColumn="0" w:noHBand="0" w:noVBand="1"/>
      </w:tblPr>
      <w:tblGrid>
        <w:gridCol w:w="3964"/>
        <w:gridCol w:w="4116"/>
      </w:tblGrid>
      <w:tr w:rsidR="008277B2" w:rsidTr="009861D8">
        <w:trPr>
          <w:jc w:val="center"/>
        </w:trPr>
        <w:tc>
          <w:tcPr>
            <w:tcW w:w="3964" w:type="dxa"/>
            <w:vAlign w:val="center"/>
          </w:tcPr>
          <w:p w:rsidR="008277B2" w:rsidRPr="00154503" w:rsidRDefault="00044707" w:rsidP="009861D8">
            <w:pPr>
              <w:pStyle w:val="MainParagraph"/>
              <w:numPr>
                <w:ilvl w:val="0"/>
                <w:numId w:val="0"/>
              </w:numPr>
              <w:spacing w:after="0"/>
              <w:jc w:val="center"/>
              <w:rPr>
                <w:b/>
                <w:i/>
              </w:rPr>
            </w:pPr>
            <w:r>
              <w:rPr>
                <w:b/>
                <w:i/>
              </w:rPr>
              <w:t>Filing of B</w:t>
            </w:r>
            <w:r w:rsidR="00456289" w:rsidRPr="00154503">
              <w:rPr>
                <w:b/>
                <w:i/>
              </w:rPr>
              <w:t>rief with Court (</w:t>
            </w:r>
            <w:r w:rsidR="00154503" w:rsidRPr="00154503">
              <w:rPr>
                <w:b/>
                <w:i/>
              </w:rPr>
              <w:t xml:space="preserve">by </w:t>
            </w:r>
            <w:r w:rsidR="00456289" w:rsidRPr="00154503">
              <w:rPr>
                <w:b/>
                <w:i/>
              </w:rPr>
              <w:t>2 p.m.)</w:t>
            </w:r>
            <w:r w:rsidR="005F70A6">
              <w:rPr>
                <w:b/>
                <w:i/>
              </w:rPr>
              <w:t>by the applicant (deadline for respondent in brackets)</w:t>
            </w:r>
          </w:p>
        </w:tc>
        <w:tc>
          <w:tcPr>
            <w:tcW w:w="4116" w:type="dxa"/>
            <w:vAlign w:val="center"/>
          </w:tcPr>
          <w:p w:rsidR="008277B2" w:rsidRPr="00154503" w:rsidRDefault="00154503" w:rsidP="009861D8">
            <w:pPr>
              <w:pStyle w:val="MainParagraph"/>
              <w:numPr>
                <w:ilvl w:val="0"/>
                <w:numId w:val="0"/>
              </w:numPr>
              <w:spacing w:after="0"/>
              <w:jc w:val="center"/>
              <w:rPr>
                <w:b/>
                <w:i/>
              </w:rPr>
            </w:pPr>
            <w:r w:rsidRPr="00154503">
              <w:rPr>
                <w:b/>
                <w:i/>
              </w:rPr>
              <w:t xml:space="preserve">For </w:t>
            </w:r>
            <w:r w:rsidR="00CE3D91" w:rsidRPr="00154503">
              <w:rPr>
                <w:b/>
                <w:i/>
              </w:rPr>
              <w:t>Conference date</w:t>
            </w:r>
            <w:r w:rsidRPr="00154503">
              <w:rPr>
                <w:b/>
                <w:i/>
              </w:rPr>
              <w:t xml:space="preserve"> </w:t>
            </w:r>
            <w:r w:rsidR="006163E8">
              <w:rPr>
                <w:b/>
                <w:i/>
              </w:rPr>
              <w:t>for</w:t>
            </w:r>
            <w:r w:rsidRPr="00154503">
              <w:rPr>
                <w:b/>
                <w:i/>
              </w:rPr>
              <w:t xml:space="preserve"> the following</w:t>
            </w:r>
            <w:r w:rsidR="006163E8">
              <w:rPr>
                <w:b/>
                <w:i/>
              </w:rPr>
              <w:t xml:space="preserve"> week</w:t>
            </w:r>
          </w:p>
        </w:tc>
      </w:tr>
      <w:tr w:rsidR="008277B2" w:rsidTr="009861D8">
        <w:trPr>
          <w:jc w:val="center"/>
        </w:trPr>
        <w:tc>
          <w:tcPr>
            <w:tcW w:w="3964" w:type="dxa"/>
            <w:vAlign w:val="center"/>
          </w:tcPr>
          <w:p w:rsidR="008277B2" w:rsidRPr="008277B2" w:rsidRDefault="008277B2" w:rsidP="009861D8">
            <w:pPr>
              <w:pStyle w:val="MainParagraph"/>
              <w:numPr>
                <w:ilvl w:val="0"/>
                <w:numId w:val="0"/>
              </w:numPr>
              <w:spacing w:after="0"/>
              <w:jc w:val="center"/>
            </w:pPr>
            <w:r w:rsidRPr="008277B2">
              <w:t>Monday</w:t>
            </w:r>
            <w:r w:rsidR="005F70A6">
              <w:t xml:space="preserve"> (Wednesday)</w:t>
            </w:r>
          </w:p>
        </w:tc>
        <w:tc>
          <w:tcPr>
            <w:tcW w:w="4116" w:type="dxa"/>
            <w:vAlign w:val="center"/>
          </w:tcPr>
          <w:p w:rsidR="008277B2" w:rsidRPr="008277B2" w:rsidRDefault="00CE3D91" w:rsidP="009861D8">
            <w:pPr>
              <w:pStyle w:val="MainParagraph"/>
              <w:numPr>
                <w:ilvl w:val="0"/>
                <w:numId w:val="0"/>
              </w:numPr>
              <w:spacing w:after="0"/>
              <w:jc w:val="center"/>
            </w:pPr>
            <w:r>
              <w:t>T</w:t>
            </w:r>
            <w:r w:rsidR="006163E8">
              <w:t>uesday</w:t>
            </w:r>
          </w:p>
        </w:tc>
      </w:tr>
      <w:tr w:rsidR="008277B2" w:rsidTr="009861D8">
        <w:trPr>
          <w:jc w:val="center"/>
        </w:trPr>
        <w:tc>
          <w:tcPr>
            <w:tcW w:w="3964" w:type="dxa"/>
            <w:vAlign w:val="center"/>
          </w:tcPr>
          <w:p w:rsidR="008277B2" w:rsidRPr="008277B2" w:rsidRDefault="008277B2" w:rsidP="009861D8">
            <w:pPr>
              <w:pStyle w:val="MainParagraph"/>
              <w:numPr>
                <w:ilvl w:val="0"/>
                <w:numId w:val="0"/>
              </w:numPr>
              <w:spacing w:after="0"/>
              <w:jc w:val="center"/>
            </w:pPr>
            <w:r w:rsidRPr="008277B2">
              <w:t>Tuesday</w:t>
            </w:r>
            <w:r w:rsidR="005F70A6">
              <w:t xml:space="preserve"> (Thursday)</w:t>
            </w:r>
          </w:p>
        </w:tc>
        <w:tc>
          <w:tcPr>
            <w:tcW w:w="4116" w:type="dxa"/>
            <w:vAlign w:val="center"/>
          </w:tcPr>
          <w:p w:rsidR="008277B2" w:rsidRPr="008277B2" w:rsidRDefault="006163E8" w:rsidP="009861D8">
            <w:pPr>
              <w:pStyle w:val="MainParagraph"/>
              <w:numPr>
                <w:ilvl w:val="0"/>
                <w:numId w:val="0"/>
              </w:numPr>
              <w:spacing w:after="0"/>
              <w:jc w:val="center"/>
            </w:pPr>
            <w:r>
              <w:t>Thursday</w:t>
            </w:r>
          </w:p>
        </w:tc>
      </w:tr>
      <w:tr w:rsidR="008277B2" w:rsidTr="009861D8">
        <w:trPr>
          <w:jc w:val="center"/>
        </w:trPr>
        <w:tc>
          <w:tcPr>
            <w:tcW w:w="3964" w:type="dxa"/>
            <w:vAlign w:val="center"/>
          </w:tcPr>
          <w:p w:rsidR="008277B2" w:rsidRPr="008277B2" w:rsidRDefault="008277B2" w:rsidP="009861D8">
            <w:pPr>
              <w:pStyle w:val="MainParagraph"/>
              <w:numPr>
                <w:ilvl w:val="0"/>
                <w:numId w:val="0"/>
              </w:numPr>
              <w:spacing w:after="0"/>
              <w:jc w:val="center"/>
            </w:pPr>
            <w:r w:rsidRPr="008277B2">
              <w:t>Wednesday</w:t>
            </w:r>
            <w:r w:rsidR="005F70A6">
              <w:t xml:space="preserve"> (Friday)</w:t>
            </w:r>
          </w:p>
        </w:tc>
        <w:tc>
          <w:tcPr>
            <w:tcW w:w="4116" w:type="dxa"/>
            <w:vAlign w:val="center"/>
          </w:tcPr>
          <w:p w:rsidR="008277B2" w:rsidRPr="008277B2" w:rsidRDefault="006163E8" w:rsidP="009861D8">
            <w:pPr>
              <w:pStyle w:val="MainParagraph"/>
              <w:numPr>
                <w:ilvl w:val="0"/>
                <w:numId w:val="0"/>
              </w:numPr>
              <w:spacing w:after="0"/>
              <w:jc w:val="center"/>
            </w:pPr>
            <w:r>
              <w:t>Friday</w:t>
            </w:r>
          </w:p>
        </w:tc>
      </w:tr>
      <w:tr w:rsidR="008277B2" w:rsidTr="009861D8">
        <w:trPr>
          <w:jc w:val="center"/>
        </w:trPr>
        <w:tc>
          <w:tcPr>
            <w:tcW w:w="3964" w:type="dxa"/>
            <w:vAlign w:val="center"/>
          </w:tcPr>
          <w:p w:rsidR="008277B2" w:rsidRPr="008277B2" w:rsidRDefault="008277B2" w:rsidP="009861D8">
            <w:pPr>
              <w:pStyle w:val="MainParagraph"/>
              <w:numPr>
                <w:ilvl w:val="0"/>
                <w:numId w:val="0"/>
              </w:numPr>
              <w:spacing w:after="0"/>
              <w:jc w:val="center"/>
            </w:pPr>
            <w:r w:rsidRPr="008277B2">
              <w:t>Thursday</w:t>
            </w:r>
            <w:r w:rsidR="005F70A6">
              <w:t xml:space="preserve"> (Monday)</w:t>
            </w:r>
          </w:p>
        </w:tc>
        <w:tc>
          <w:tcPr>
            <w:tcW w:w="4116" w:type="dxa"/>
            <w:vAlign w:val="center"/>
          </w:tcPr>
          <w:p w:rsidR="008277B2" w:rsidRPr="008277B2" w:rsidRDefault="006163E8" w:rsidP="009861D8">
            <w:pPr>
              <w:pStyle w:val="MainParagraph"/>
              <w:numPr>
                <w:ilvl w:val="0"/>
                <w:numId w:val="0"/>
              </w:numPr>
              <w:spacing w:after="0"/>
              <w:jc w:val="center"/>
            </w:pPr>
            <w:r>
              <w:t>Monday the second week afterwards</w:t>
            </w:r>
          </w:p>
        </w:tc>
      </w:tr>
      <w:tr w:rsidR="00CE3D91" w:rsidTr="00B2340E">
        <w:trPr>
          <w:jc w:val="center"/>
        </w:trPr>
        <w:tc>
          <w:tcPr>
            <w:tcW w:w="8080" w:type="dxa"/>
            <w:gridSpan w:val="2"/>
            <w:vAlign w:val="center"/>
          </w:tcPr>
          <w:p w:rsidR="00CE3D91" w:rsidRPr="008277B2" w:rsidRDefault="00CE3D91" w:rsidP="002678A6">
            <w:pPr>
              <w:pStyle w:val="MainParagraph"/>
              <w:numPr>
                <w:ilvl w:val="0"/>
                <w:numId w:val="0"/>
              </w:numPr>
              <w:spacing w:after="0"/>
              <w:jc w:val="center"/>
            </w:pPr>
            <w:r>
              <w:t xml:space="preserve">Conferences are </w:t>
            </w:r>
            <w:r w:rsidR="006163E8">
              <w:t xml:space="preserve">not </w:t>
            </w:r>
            <w:r>
              <w:t>held on Wednesdays in Newmarket.</w:t>
            </w:r>
          </w:p>
        </w:tc>
      </w:tr>
    </w:tbl>
    <w:p w:rsidR="00880502" w:rsidRPr="007C68C5" w:rsidRDefault="0036789A" w:rsidP="00B2340E">
      <w:pPr>
        <w:pStyle w:val="MainParagraph"/>
        <w:spacing w:before="240" w:line="360" w:lineRule="auto"/>
        <w:ind w:left="629" w:hanging="720"/>
      </w:pPr>
      <w:r>
        <w:t>W</w:t>
      </w:r>
      <w:r w:rsidRPr="005D3C40">
        <w:t>here the deadline for filing falls on a statutory holiday, add a da</w:t>
      </w:r>
      <w:r>
        <w:t>y</w:t>
      </w:r>
      <w:r w:rsidRPr="005D3C40">
        <w:t xml:space="preserve">. </w:t>
      </w:r>
      <w:r>
        <w:t xml:space="preserve"> F</w:t>
      </w:r>
      <w:r w:rsidRPr="005D3C40">
        <w:t xml:space="preserve">or example, if </w:t>
      </w:r>
      <w:r w:rsidR="00333F50">
        <w:t>Monday</w:t>
      </w:r>
      <w:r w:rsidRPr="005D3C40">
        <w:t xml:space="preserve"> would </w:t>
      </w:r>
      <w:r w:rsidR="008277B2">
        <w:t xml:space="preserve">ordinarily </w:t>
      </w:r>
      <w:r w:rsidRPr="005D3C40">
        <w:t xml:space="preserve">be the deadline for filing </w:t>
      </w:r>
      <w:r>
        <w:t>B</w:t>
      </w:r>
      <w:r w:rsidRPr="005D3C40">
        <w:t xml:space="preserve">riefs </w:t>
      </w:r>
      <w:r w:rsidR="008277B2">
        <w:t>in time for</w:t>
      </w:r>
      <w:r w:rsidRPr="005D3C40">
        <w:t xml:space="preserve"> a </w:t>
      </w:r>
      <w:r w:rsidR="00150417">
        <w:t>T</w:t>
      </w:r>
      <w:r w:rsidR="006163E8">
        <w:t>uesday</w:t>
      </w:r>
      <w:r w:rsidRPr="005D3C40">
        <w:t xml:space="preserve"> </w:t>
      </w:r>
      <w:r>
        <w:t>C</w:t>
      </w:r>
      <w:r w:rsidRPr="005D3C40">
        <w:t xml:space="preserve">ase </w:t>
      </w:r>
      <w:r>
        <w:t>C</w:t>
      </w:r>
      <w:r w:rsidRPr="005D3C40">
        <w:t xml:space="preserve">onference </w:t>
      </w:r>
      <w:r w:rsidR="008277B2">
        <w:t>the next week, and the Monday is a statutory holiday</w:t>
      </w:r>
      <w:r w:rsidR="003A4903">
        <w:t>, then</w:t>
      </w:r>
      <w:r w:rsidR="008277B2">
        <w:t xml:space="preserve"> </w:t>
      </w:r>
      <w:r w:rsidRPr="005D3C40">
        <w:t xml:space="preserve">the </w:t>
      </w:r>
      <w:r>
        <w:t>Briefs</w:t>
      </w:r>
      <w:r w:rsidRPr="005D3C40">
        <w:t xml:space="preserve"> must be filed with the court </w:t>
      </w:r>
      <w:r w:rsidR="008277B2">
        <w:t xml:space="preserve">by </w:t>
      </w:r>
      <w:r w:rsidRPr="005D3C40">
        <w:t>no later than 2</w:t>
      </w:r>
      <w:r>
        <w:t>:00 p.m.</w:t>
      </w:r>
      <w:r w:rsidRPr="005D3C40">
        <w:t xml:space="preserve"> on the preceding </w:t>
      </w:r>
      <w:r w:rsidR="00333F50">
        <w:t>Friday</w:t>
      </w:r>
      <w:r w:rsidRPr="003A4903">
        <w:rPr>
          <w:b/>
        </w:rPr>
        <w:t xml:space="preserve">.  </w:t>
      </w:r>
      <w:r w:rsidR="006163E8">
        <w:rPr>
          <w:b/>
        </w:rPr>
        <w:t>Remember to serve and file with the court your Brief as soon after service on the other side as possible to ensure that you comply with the rule.</w:t>
      </w:r>
    </w:p>
    <w:p w:rsidR="007C68C5" w:rsidRDefault="00485762" w:rsidP="00A27CCF">
      <w:pPr>
        <w:pStyle w:val="MainParagraph"/>
        <w:ind w:left="629" w:hanging="720"/>
      </w:pPr>
      <w:r>
        <w:t>Appendix B</w:t>
      </w:r>
      <w:r w:rsidR="007C68C5">
        <w:t xml:space="preserve"> sets out service and filing deadlines. </w:t>
      </w:r>
    </w:p>
    <w:p w:rsidR="0036789A" w:rsidRPr="00BB3978" w:rsidRDefault="0036789A" w:rsidP="00A27CCF">
      <w:pPr>
        <w:pStyle w:val="MainParagraph"/>
        <w:numPr>
          <w:ilvl w:val="0"/>
          <w:numId w:val="0"/>
        </w:numPr>
        <w:ind w:left="629" w:hanging="720"/>
        <w:rPr>
          <w:b/>
          <w:u w:val="single"/>
        </w:rPr>
      </w:pPr>
      <w:r w:rsidRPr="00BB3978">
        <w:rPr>
          <w:b/>
          <w:u w:val="single"/>
        </w:rPr>
        <w:t>Mandatory Attendance</w:t>
      </w:r>
    </w:p>
    <w:p w:rsidR="0036789A" w:rsidRDefault="0036789A" w:rsidP="0036789A">
      <w:pPr>
        <w:pStyle w:val="MainParagraph"/>
        <w:ind w:hanging="720"/>
      </w:pPr>
      <w:r>
        <w:t>R</w:t>
      </w:r>
      <w:r w:rsidRPr="005D3C40">
        <w:t>ule 17</w:t>
      </w:r>
      <w:r>
        <w:t>(</w:t>
      </w:r>
      <w:r w:rsidRPr="005D3C40">
        <w:t>15</w:t>
      </w:r>
      <w:r>
        <w:t xml:space="preserve">), </w:t>
      </w:r>
      <w:r w:rsidRPr="005D3C40">
        <w:t>deal</w:t>
      </w:r>
      <w:r w:rsidR="002E7272">
        <w:t>s</w:t>
      </w:r>
      <w:r w:rsidRPr="005D3C40">
        <w:t xml:space="preserve"> with the mandatory attendance of parties and their lawyers</w:t>
      </w:r>
      <w:r>
        <w:t>,</w:t>
      </w:r>
    </w:p>
    <w:p w:rsidR="0036789A" w:rsidRPr="00C36E40" w:rsidRDefault="00FA6BAA" w:rsidP="00B2340E">
      <w:pPr>
        <w:spacing w:after="120"/>
        <w:ind w:left="1418" w:right="1440"/>
        <w:rPr>
          <w:lang w:val="en"/>
        </w:rPr>
      </w:pPr>
      <w:hyperlink r:id="rId11" w:anchor="s17s15" w:history="1">
        <w:r w:rsidR="0036789A" w:rsidRPr="00C36E40">
          <w:rPr>
            <w:lang w:val="en-US"/>
          </w:rPr>
          <w:t>(15)</w:t>
        </w:r>
      </w:hyperlink>
      <w:r w:rsidR="0036789A" w:rsidRPr="00C36E40">
        <w:rPr>
          <w:lang w:val="en"/>
        </w:rPr>
        <w:t xml:space="preserve"> The following shall come to each conference:</w:t>
      </w:r>
    </w:p>
    <w:p w:rsidR="0036789A" w:rsidRPr="00C36E40" w:rsidRDefault="0036789A" w:rsidP="00B2340E">
      <w:pPr>
        <w:spacing w:after="120"/>
        <w:ind w:left="1418" w:right="1440"/>
        <w:rPr>
          <w:lang w:val="en"/>
        </w:rPr>
      </w:pPr>
      <w:r w:rsidRPr="00C36E40">
        <w:rPr>
          <w:lang w:val="en"/>
        </w:rPr>
        <w:t>1. The parties, unless the court orders otherwise.</w:t>
      </w:r>
    </w:p>
    <w:p w:rsidR="0036789A" w:rsidRDefault="0036789A" w:rsidP="00B2340E">
      <w:pPr>
        <w:spacing w:after="240"/>
        <w:ind w:left="1418" w:right="1440"/>
        <w:rPr>
          <w:lang w:val="en"/>
        </w:rPr>
      </w:pPr>
      <w:r w:rsidRPr="00C36E40">
        <w:rPr>
          <w:lang w:val="en"/>
        </w:rPr>
        <w:t xml:space="preserve">2. For each represented party, the lawyer with full knowledge of and authority in the case.  </w:t>
      </w:r>
    </w:p>
    <w:p w:rsidR="003A4903" w:rsidRDefault="003A4903" w:rsidP="00A27CCF">
      <w:pPr>
        <w:pStyle w:val="MainParagraph"/>
        <w:spacing w:line="360" w:lineRule="auto"/>
        <w:ind w:hanging="720"/>
        <w:rPr>
          <w:lang w:val="en"/>
        </w:rPr>
      </w:pPr>
      <w:r>
        <w:rPr>
          <w:lang w:val="en"/>
        </w:rPr>
        <w:t>The lawyer, or lawyer’s agent, who appears for a party must not only be familiar with the issues in the case but also have the authority to give recommendations to, and receive settlemen</w:t>
      </w:r>
      <w:r w:rsidR="00977204">
        <w:rPr>
          <w:lang w:val="en"/>
        </w:rPr>
        <w:t>t instructions from, the client</w:t>
      </w:r>
      <w:r>
        <w:rPr>
          <w:lang w:val="en"/>
        </w:rPr>
        <w:t xml:space="preserve"> even if the issues are only procedural in nature or temporary in duration.</w:t>
      </w:r>
    </w:p>
    <w:p w:rsidR="0036789A" w:rsidRPr="00C36E40" w:rsidRDefault="002E7272" w:rsidP="00A27CCF">
      <w:pPr>
        <w:pStyle w:val="MainParagraph"/>
        <w:spacing w:line="360" w:lineRule="auto"/>
        <w:ind w:hanging="720"/>
        <w:rPr>
          <w:lang w:val="en"/>
        </w:rPr>
      </w:pPr>
      <w:r>
        <w:rPr>
          <w:lang w:val="en"/>
        </w:rPr>
        <w:t xml:space="preserve">Sometimes either or both </w:t>
      </w:r>
      <w:r w:rsidR="003A4903">
        <w:rPr>
          <w:lang w:val="en"/>
        </w:rPr>
        <w:t xml:space="preserve">the </w:t>
      </w:r>
      <w:r>
        <w:rPr>
          <w:lang w:val="en"/>
        </w:rPr>
        <w:t xml:space="preserve">party and their lawyer cannot attend the conference.  Reasons may include a party being out of the jurisdiction or a compelling medical </w:t>
      </w:r>
      <w:r w:rsidR="00456289">
        <w:rPr>
          <w:lang w:val="en"/>
        </w:rPr>
        <w:t>reason</w:t>
      </w:r>
      <w:r>
        <w:rPr>
          <w:lang w:val="en"/>
        </w:rPr>
        <w:t xml:space="preserve"> which prevents pe</w:t>
      </w:r>
      <w:r w:rsidR="00C56230">
        <w:rPr>
          <w:lang w:val="en"/>
        </w:rPr>
        <w:t>rsonal attendance.  Rules 17 (1</w:t>
      </w:r>
      <w:r w:rsidR="00B84EDF">
        <w:rPr>
          <w:lang w:val="en"/>
        </w:rPr>
        <w:t>6</w:t>
      </w:r>
      <w:r w:rsidR="00C56230">
        <w:rPr>
          <w:lang w:val="en"/>
        </w:rPr>
        <w:t>) and (1</w:t>
      </w:r>
      <w:r w:rsidR="00B84EDF">
        <w:rPr>
          <w:lang w:val="en"/>
        </w:rPr>
        <w:t>7</w:t>
      </w:r>
      <w:r>
        <w:rPr>
          <w:lang w:val="en"/>
        </w:rPr>
        <w:t>) deal with this:</w:t>
      </w:r>
    </w:p>
    <w:p w:rsidR="0036789A" w:rsidRDefault="00FA6BAA" w:rsidP="00A27CCF">
      <w:pPr>
        <w:spacing w:after="120"/>
        <w:ind w:left="1440" w:right="1440"/>
        <w:rPr>
          <w:lang w:val="en"/>
        </w:rPr>
      </w:pPr>
      <w:hyperlink r:id="rId12" w:anchor="s17s16" w:history="1">
        <w:r w:rsidR="0036789A" w:rsidRPr="00C36E40">
          <w:rPr>
            <w:lang w:val="en-US"/>
          </w:rPr>
          <w:t>(16)</w:t>
        </w:r>
      </w:hyperlink>
      <w:r w:rsidR="0036789A" w:rsidRPr="00C36E40">
        <w:rPr>
          <w:lang w:val="en"/>
        </w:rPr>
        <w:t xml:space="preserve"> With permission obtained </w:t>
      </w:r>
      <w:r w:rsidR="0036789A" w:rsidRPr="005F70A6">
        <w:rPr>
          <w:b/>
          <w:lang w:val="en"/>
        </w:rPr>
        <w:t>in advance from the judge who is to</w:t>
      </w:r>
      <w:r w:rsidR="0036789A" w:rsidRPr="00C36E40">
        <w:rPr>
          <w:lang w:val="en"/>
        </w:rPr>
        <w:t xml:space="preserve"> </w:t>
      </w:r>
      <w:r w:rsidR="0036789A" w:rsidRPr="005F70A6">
        <w:rPr>
          <w:b/>
          <w:lang w:val="en"/>
        </w:rPr>
        <w:t>conduct a conference</w:t>
      </w:r>
      <w:r w:rsidR="0036789A" w:rsidRPr="00C36E40">
        <w:rPr>
          <w:lang w:val="en"/>
        </w:rPr>
        <w:t xml:space="preserve">, a party or lawyer may participate in the conference by telephone or video conference.  </w:t>
      </w:r>
    </w:p>
    <w:p w:rsidR="0036789A" w:rsidRPr="00C36E40" w:rsidRDefault="00FA6BAA" w:rsidP="0036789A">
      <w:pPr>
        <w:spacing w:after="120"/>
        <w:ind w:left="1440" w:right="1440"/>
        <w:rPr>
          <w:color w:val="222222"/>
          <w:lang w:val="en"/>
        </w:rPr>
      </w:pPr>
      <w:hyperlink r:id="rId13" w:anchor="s17s17" w:history="1">
        <w:r w:rsidR="0036789A" w:rsidRPr="00C36E40">
          <w:rPr>
            <w:lang w:val="en-US"/>
          </w:rPr>
          <w:t>(17)</w:t>
        </w:r>
      </w:hyperlink>
      <w:r w:rsidR="0036789A" w:rsidRPr="00C36E40">
        <w:rPr>
          <w:lang w:val="en"/>
        </w:rPr>
        <w:t xml:space="preserve"> A par</w:t>
      </w:r>
      <w:r w:rsidR="0036789A" w:rsidRPr="00C36E40">
        <w:rPr>
          <w:color w:val="222222"/>
          <w:lang w:val="en"/>
        </w:rPr>
        <w:t>ty or lawyer who has permission to participate by telephone or video conference shall,</w:t>
      </w:r>
    </w:p>
    <w:p w:rsidR="0036789A" w:rsidRPr="00C36E40" w:rsidRDefault="0036789A" w:rsidP="00A27CCF">
      <w:pPr>
        <w:spacing w:after="120"/>
        <w:ind w:left="1560" w:right="1440" w:hanging="142"/>
        <w:rPr>
          <w:color w:val="222222"/>
          <w:lang w:val="en"/>
        </w:rPr>
      </w:pPr>
      <w:r w:rsidRPr="00C36E40">
        <w:rPr>
          <w:color w:val="222222"/>
          <w:lang w:val="en"/>
        </w:rPr>
        <w:t xml:space="preserve">(a) </w:t>
      </w:r>
      <w:proofErr w:type="gramStart"/>
      <w:r w:rsidRPr="00C36E40">
        <w:rPr>
          <w:color w:val="222222"/>
          <w:lang w:val="en"/>
        </w:rPr>
        <w:t>make</w:t>
      </w:r>
      <w:proofErr w:type="gramEnd"/>
      <w:r w:rsidRPr="00C36E40">
        <w:rPr>
          <w:color w:val="222222"/>
          <w:lang w:val="en"/>
        </w:rPr>
        <w:t xml:space="preserve"> the necessary arrangements;</w:t>
      </w:r>
    </w:p>
    <w:p w:rsidR="0036789A" w:rsidRPr="00C36E40" w:rsidRDefault="0036789A" w:rsidP="00A27CCF">
      <w:pPr>
        <w:spacing w:after="120"/>
        <w:ind w:left="1560" w:right="1440" w:hanging="142"/>
        <w:rPr>
          <w:color w:val="222222"/>
          <w:lang w:val="en"/>
        </w:rPr>
      </w:pPr>
      <w:r w:rsidRPr="00C36E40">
        <w:rPr>
          <w:color w:val="222222"/>
          <w:lang w:val="en"/>
        </w:rPr>
        <w:t xml:space="preserve">(b) </w:t>
      </w:r>
      <w:proofErr w:type="gramStart"/>
      <w:r w:rsidRPr="00C36E40">
        <w:rPr>
          <w:color w:val="222222"/>
          <w:lang w:val="en"/>
        </w:rPr>
        <w:t>serve</w:t>
      </w:r>
      <w:proofErr w:type="gramEnd"/>
      <w:r w:rsidRPr="00C36E40">
        <w:rPr>
          <w:color w:val="222222"/>
          <w:lang w:val="en"/>
        </w:rPr>
        <w:t xml:space="preserve"> a notice of the arrangements on all other parties and file it; and</w:t>
      </w:r>
    </w:p>
    <w:p w:rsidR="0036789A" w:rsidRDefault="0036789A" w:rsidP="00A27CCF">
      <w:pPr>
        <w:spacing w:after="240"/>
        <w:ind w:left="1560" w:right="1440" w:hanging="142"/>
        <w:rPr>
          <w:color w:val="222222"/>
          <w:lang w:val="en"/>
        </w:rPr>
      </w:pPr>
      <w:r w:rsidRPr="00C36E40">
        <w:rPr>
          <w:color w:val="222222"/>
          <w:lang w:val="en"/>
        </w:rPr>
        <w:t xml:space="preserve">(c) </w:t>
      </w:r>
      <w:proofErr w:type="gramStart"/>
      <w:r w:rsidRPr="00C36E40">
        <w:rPr>
          <w:color w:val="222222"/>
          <w:lang w:val="en"/>
        </w:rPr>
        <w:t>participate</w:t>
      </w:r>
      <w:proofErr w:type="gramEnd"/>
      <w:r w:rsidRPr="00C36E40">
        <w:rPr>
          <w:color w:val="222222"/>
          <w:lang w:val="en"/>
        </w:rPr>
        <w:t xml:space="preserve"> in the conference as the notice speci</w:t>
      </w:r>
      <w:r w:rsidR="00977204">
        <w:rPr>
          <w:color w:val="222222"/>
          <w:lang w:val="en"/>
        </w:rPr>
        <w:t>fies.</w:t>
      </w:r>
    </w:p>
    <w:p w:rsidR="0036789A" w:rsidRDefault="002E7272" w:rsidP="00A27CCF">
      <w:pPr>
        <w:pStyle w:val="MainParagraph"/>
        <w:spacing w:line="360" w:lineRule="auto"/>
        <w:ind w:left="629" w:hanging="720"/>
      </w:pPr>
      <w:r w:rsidRPr="002E7272">
        <w:rPr>
          <w:color w:val="222222"/>
          <w:lang w:val="en"/>
        </w:rPr>
        <w:t xml:space="preserve">It is the responsibility of a party’s lawyer, or the party if they are representing themselves, to request from the court at the earliest available opportunity its permission so that the party and/or lawyer may participate by telephone or video conference.  </w:t>
      </w:r>
      <w:r w:rsidR="0036789A" w:rsidRPr="007C68C5">
        <w:rPr>
          <w:b/>
        </w:rPr>
        <w:t>This should be done by a Form</w:t>
      </w:r>
      <w:r w:rsidR="003A4903" w:rsidRPr="007C68C5">
        <w:rPr>
          <w:b/>
        </w:rPr>
        <w:t xml:space="preserve"> </w:t>
      </w:r>
      <w:r w:rsidR="0036789A" w:rsidRPr="007C68C5">
        <w:rPr>
          <w:b/>
        </w:rPr>
        <w:t xml:space="preserve">14B on notice to the other party at least three weeks before the date scheduled for the conference. </w:t>
      </w:r>
      <w:r w:rsidR="0036789A">
        <w:t xml:space="preserve"> T</w:t>
      </w:r>
      <w:r w:rsidR="0036789A" w:rsidRPr="005D3C40">
        <w:t>he request must be accompanied by an affidavit that provides good reason</w:t>
      </w:r>
      <w:r w:rsidR="0036789A">
        <w:t>[</w:t>
      </w:r>
      <w:r w:rsidR="0036789A" w:rsidRPr="005D3C40">
        <w:t>s</w:t>
      </w:r>
      <w:r w:rsidR="0036789A">
        <w:t>]</w:t>
      </w:r>
      <w:r w:rsidR="0036789A" w:rsidRPr="005D3C40">
        <w:t xml:space="preserve"> why the party and/or lawyer is unable to personally attend. </w:t>
      </w:r>
    </w:p>
    <w:p w:rsidR="003A4903" w:rsidRPr="003D5C78" w:rsidRDefault="003D5C78" w:rsidP="003D5C78">
      <w:pPr>
        <w:pStyle w:val="MainParagraph"/>
        <w:numPr>
          <w:ilvl w:val="0"/>
          <w:numId w:val="0"/>
        </w:numPr>
        <w:ind w:left="-90"/>
        <w:rPr>
          <w:b/>
          <w:color w:val="222222"/>
          <w:u w:val="single"/>
          <w:lang w:val="en"/>
        </w:rPr>
      </w:pPr>
      <w:r w:rsidRPr="003D5C78">
        <w:rPr>
          <w:b/>
          <w:color w:val="222222"/>
          <w:u w:val="single"/>
          <w:lang w:val="en"/>
        </w:rPr>
        <w:t>Confirmation</w:t>
      </w:r>
    </w:p>
    <w:p w:rsidR="00CE3D91" w:rsidRDefault="00A15E5D" w:rsidP="00A27CCF">
      <w:pPr>
        <w:pStyle w:val="MainParagraph"/>
        <w:spacing w:line="360" w:lineRule="auto"/>
        <w:ind w:hanging="720"/>
        <w:rPr>
          <w:color w:val="222222"/>
          <w:lang w:val="en"/>
        </w:rPr>
      </w:pPr>
      <w:r>
        <w:rPr>
          <w:color w:val="222222"/>
          <w:lang w:val="en"/>
        </w:rPr>
        <w:t xml:space="preserve">Even though the court, or either or both of the parties, have scheduled a case conference date, </w:t>
      </w:r>
      <w:r w:rsidRPr="00A15E5D">
        <w:rPr>
          <w:b/>
          <w:color w:val="222222"/>
          <w:lang w:val="en"/>
        </w:rPr>
        <w:t>each</w:t>
      </w:r>
      <w:r>
        <w:rPr>
          <w:b/>
          <w:color w:val="222222"/>
          <w:lang w:val="en"/>
        </w:rPr>
        <w:t xml:space="preserve"> </w:t>
      </w:r>
      <w:r w:rsidRPr="00880502">
        <w:rPr>
          <w:b/>
          <w:color w:val="222222"/>
          <w:lang w:val="en"/>
        </w:rPr>
        <w:t>party must still confirm with the other side</w:t>
      </w:r>
      <w:r>
        <w:rPr>
          <w:color w:val="222222"/>
          <w:lang w:val="en"/>
        </w:rPr>
        <w:t xml:space="preserve"> and file with the court a confirmation that the conference will proceed. Rule 17(14) </w:t>
      </w:r>
      <w:r w:rsidR="00CE3D91">
        <w:rPr>
          <w:color w:val="222222"/>
          <w:lang w:val="en"/>
        </w:rPr>
        <w:t xml:space="preserve">states: </w:t>
      </w:r>
    </w:p>
    <w:p w:rsidR="00CE3D91" w:rsidRPr="00C627CA" w:rsidRDefault="00CE3D91" w:rsidP="00A27CCF">
      <w:pPr>
        <w:pStyle w:val="MainParagraph"/>
        <w:numPr>
          <w:ilvl w:val="0"/>
          <w:numId w:val="0"/>
        </w:numPr>
        <w:tabs>
          <w:tab w:val="clear" w:pos="720"/>
          <w:tab w:val="left" w:pos="1418"/>
        </w:tabs>
        <w:ind w:left="1418" w:right="713"/>
        <w:rPr>
          <w:b/>
          <w:color w:val="222222"/>
          <w:lang w:val="en"/>
        </w:rPr>
      </w:pPr>
      <w:r w:rsidRPr="00C627CA">
        <w:rPr>
          <w:b/>
          <w:color w:val="222222"/>
          <w:lang w:val="en"/>
        </w:rPr>
        <w:t>PARTIES TO CONFIRM ATTENDANCE</w:t>
      </w:r>
    </w:p>
    <w:p w:rsidR="00CE3D91" w:rsidRDefault="00CE3D91" w:rsidP="00A27CCF">
      <w:pPr>
        <w:pStyle w:val="MainParagraph"/>
        <w:numPr>
          <w:ilvl w:val="0"/>
          <w:numId w:val="0"/>
        </w:numPr>
        <w:tabs>
          <w:tab w:val="clear" w:pos="720"/>
          <w:tab w:val="left" w:pos="1418"/>
        </w:tabs>
        <w:spacing w:after="120"/>
        <w:ind w:left="1418" w:right="714"/>
        <w:rPr>
          <w:color w:val="222222"/>
          <w:lang w:val="en"/>
        </w:rPr>
      </w:pPr>
      <w:r>
        <w:rPr>
          <w:color w:val="222222"/>
          <w:lang w:val="en"/>
        </w:rPr>
        <w:t>(14) Each party shall,</w:t>
      </w:r>
    </w:p>
    <w:p w:rsidR="00CE3D91" w:rsidRDefault="00CE3D91" w:rsidP="00A27CCF">
      <w:pPr>
        <w:pStyle w:val="MainParagraph"/>
        <w:numPr>
          <w:ilvl w:val="0"/>
          <w:numId w:val="0"/>
        </w:numPr>
        <w:tabs>
          <w:tab w:val="clear" w:pos="720"/>
          <w:tab w:val="left" w:pos="1418"/>
        </w:tabs>
        <w:spacing w:after="120"/>
        <w:ind w:left="1418" w:right="714"/>
        <w:rPr>
          <w:color w:val="222222"/>
          <w:lang w:val="en"/>
        </w:rPr>
      </w:pPr>
      <w:r>
        <w:rPr>
          <w:color w:val="222222"/>
          <w:lang w:val="en"/>
        </w:rPr>
        <w:t xml:space="preserve">(a)  </w:t>
      </w:r>
      <w:proofErr w:type="gramStart"/>
      <w:r>
        <w:rPr>
          <w:color w:val="222222"/>
          <w:lang w:val="en"/>
        </w:rPr>
        <w:t>confer</w:t>
      </w:r>
      <w:proofErr w:type="gramEnd"/>
      <w:r>
        <w:rPr>
          <w:color w:val="222222"/>
          <w:lang w:val="en"/>
        </w:rPr>
        <w:t xml:space="preserve"> or attempt to confer orally or in writing with every other party about the issues that are in dispute, subject to a party being prohibited from such communication by court order;</w:t>
      </w:r>
    </w:p>
    <w:p w:rsidR="00CE3D91" w:rsidRDefault="00CE3D91" w:rsidP="00A27CCF">
      <w:pPr>
        <w:pStyle w:val="MainParagraph"/>
        <w:numPr>
          <w:ilvl w:val="0"/>
          <w:numId w:val="0"/>
        </w:numPr>
        <w:tabs>
          <w:tab w:val="clear" w:pos="720"/>
          <w:tab w:val="left" w:pos="1418"/>
        </w:tabs>
        <w:spacing w:after="120"/>
        <w:ind w:left="1418" w:right="714"/>
        <w:rPr>
          <w:color w:val="222222"/>
          <w:lang w:val="en"/>
        </w:rPr>
      </w:pPr>
      <w:r>
        <w:rPr>
          <w:color w:val="222222"/>
          <w:lang w:val="en"/>
        </w:rPr>
        <w:t xml:space="preserve">(b)  before giving the clerk confirmation of the conference in Form 17F under clause (c), </w:t>
      </w:r>
      <w:r w:rsidRPr="006163E8">
        <w:rPr>
          <w:b/>
          <w:color w:val="222222"/>
          <w:lang w:val="en"/>
        </w:rPr>
        <w:t>give a copy of the confirmation of conference to every other party</w:t>
      </w:r>
      <w:r>
        <w:rPr>
          <w:color w:val="222222"/>
          <w:lang w:val="en"/>
        </w:rPr>
        <w:t xml:space="preserve"> </w:t>
      </w:r>
      <w:r w:rsidRPr="006163E8">
        <w:rPr>
          <w:b/>
          <w:color w:val="222222"/>
          <w:lang w:val="en"/>
        </w:rPr>
        <w:t>using</w:t>
      </w:r>
      <w:r>
        <w:rPr>
          <w:color w:val="222222"/>
          <w:lang w:val="en"/>
        </w:rPr>
        <w:t xml:space="preserve"> </w:t>
      </w:r>
      <w:r w:rsidRPr="00880502">
        <w:rPr>
          <w:b/>
          <w:color w:val="222222"/>
          <w:lang w:val="en"/>
        </w:rPr>
        <w:t>mail, fax, email or any other method</w:t>
      </w:r>
      <w:r>
        <w:rPr>
          <w:color w:val="222222"/>
          <w:lang w:val="en"/>
        </w:rPr>
        <w:t>, except in a child protection case; and</w:t>
      </w:r>
    </w:p>
    <w:p w:rsidR="00CE3D91" w:rsidRDefault="00CE3D91" w:rsidP="00A27CCF">
      <w:pPr>
        <w:pStyle w:val="MainParagraph"/>
        <w:numPr>
          <w:ilvl w:val="0"/>
          <w:numId w:val="0"/>
        </w:numPr>
        <w:tabs>
          <w:tab w:val="clear" w:pos="720"/>
          <w:tab w:val="left" w:pos="1418"/>
        </w:tabs>
        <w:spacing w:after="120"/>
        <w:ind w:left="1418" w:right="714"/>
        <w:rPr>
          <w:color w:val="222222"/>
          <w:lang w:val="en"/>
        </w:rPr>
      </w:pPr>
      <w:r>
        <w:rPr>
          <w:color w:val="222222"/>
          <w:lang w:val="en"/>
        </w:rPr>
        <w:t xml:space="preserve">(c) </w:t>
      </w:r>
      <w:proofErr w:type="gramStart"/>
      <w:r>
        <w:rPr>
          <w:color w:val="222222"/>
          <w:lang w:val="en"/>
        </w:rPr>
        <w:t>not</w:t>
      </w:r>
      <w:proofErr w:type="gramEnd"/>
      <w:r>
        <w:rPr>
          <w:color w:val="222222"/>
          <w:lang w:val="en"/>
        </w:rPr>
        <w:t xml:space="preserve"> later than 2 p.m. </w:t>
      </w:r>
      <w:r w:rsidRPr="006163E8">
        <w:rPr>
          <w:b/>
          <w:color w:val="222222"/>
          <w:lang w:val="en"/>
        </w:rPr>
        <w:t>three</w:t>
      </w:r>
      <w:r>
        <w:rPr>
          <w:color w:val="222222"/>
          <w:lang w:val="en"/>
        </w:rPr>
        <w:t xml:space="preserve"> days before the conference date, give the clerk the confirmation of conference (Form 17F) by, </w:t>
      </w:r>
    </w:p>
    <w:p w:rsidR="00CE3D91" w:rsidRDefault="00CE3D91" w:rsidP="00A27CCF">
      <w:pPr>
        <w:pStyle w:val="MainParagraph"/>
        <w:numPr>
          <w:ilvl w:val="0"/>
          <w:numId w:val="0"/>
        </w:numPr>
        <w:tabs>
          <w:tab w:val="clear" w:pos="720"/>
          <w:tab w:val="left" w:pos="1418"/>
        </w:tabs>
        <w:spacing w:after="120"/>
        <w:ind w:left="1418" w:right="714"/>
        <w:rPr>
          <w:color w:val="222222"/>
          <w:lang w:val="en"/>
        </w:rPr>
      </w:pPr>
      <w:r>
        <w:rPr>
          <w:color w:val="222222"/>
          <w:lang w:val="en"/>
        </w:rPr>
        <w:t>(</w:t>
      </w:r>
      <w:proofErr w:type="spellStart"/>
      <w:r>
        <w:rPr>
          <w:color w:val="222222"/>
          <w:lang w:val="en"/>
        </w:rPr>
        <w:t>i</w:t>
      </w:r>
      <w:proofErr w:type="spellEnd"/>
      <w:r>
        <w:rPr>
          <w:color w:val="222222"/>
          <w:lang w:val="en"/>
        </w:rPr>
        <w:t xml:space="preserve">)  </w:t>
      </w:r>
      <w:proofErr w:type="gramStart"/>
      <w:r>
        <w:rPr>
          <w:color w:val="222222"/>
          <w:lang w:val="en"/>
        </w:rPr>
        <w:t>delivering</w:t>
      </w:r>
      <w:proofErr w:type="gramEnd"/>
      <w:r>
        <w:rPr>
          <w:color w:val="222222"/>
          <w:lang w:val="en"/>
        </w:rPr>
        <w:t xml:space="preserve"> it to the court office, or</w:t>
      </w:r>
    </w:p>
    <w:p w:rsidR="00CE3D91" w:rsidRDefault="00CE3D91" w:rsidP="00A27CCF">
      <w:pPr>
        <w:pStyle w:val="MainParagraph"/>
        <w:numPr>
          <w:ilvl w:val="0"/>
          <w:numId w:val="0"/>
        </w:numPr>
        <w:tabs>
          <w:tab w:val="clear" w:pos="720"/>
          <w:tab w:val="left" w:pos="1418"/>
        </w:tabs>
        <w:ind w:left="1418" w:right="714"/>
        <w:rPr>
          <w:color w:val="222222"/>
          <w:lang w:val="en"/>
        </w:rPr>
      </w:pPr>
      <w:r>
        <w:rPr>
          <w:color w:val="222222"/>
          <w:lang w:val="en"/>
        </w:rPr>
        <w:t xml:space="preserve">(ii)  </w:t>
      </w:r>
      <w:proofErr w:type="gramStart"/>
      <w:r>
        <w:rPr>
          <w:color w:val="222222"/>
          <w:lang w:val="en"/>
        </w:rPr>
        <w:t>if</w:t>
      </w:r>
      <w:proofErr w:type="gramEnd"/>
      <w:r>
        <w:rPr>
          <w:color w:val="222222"/>
          <w:lang w:val="en"/>
        </w:rPr>
        <w:t xml:space="preserve"> available in the court office, sending it by fax or by email.  O. Reg. </w:t>
      </w:r>
      <w:r w:rsidR="00C627CA">
        <w:rPr>
          <w:color w:val="222222"/>
          <w:lang w:val="en"/>
        </w:rPr>
        <w:t xml:space="preserve">       </w:t>
      </w:r>
      <w:r>
        <w:rPr>
          <w:color w:val="222222"/>
          <w:lang w:val="en"/>
        </w:rPr>
        <w:t>298/18, s. 12 (3)</w:t>
      </w:r>
    </w:p>
    <w:p w:rsidR="003A4903" w:rsidRDefault="00A15E5D" w:rsidP="003D5C78">
      <w:pPr>
        <w:pStyle w:val="MainParagraph"/>
        <w:ind w:hanging="720"/>
        <w:rPr>
          <w:color w:val="222222"/>
          <w:lang w:val="en"/>
        </w:rPr>
      </w:pPr>
      <w:r>
        <w:rPr>
          <w:color w:val="222222"/>
          <w:lang w:val="en"/>
        </w:rPr>
        <w:t>See</w:t>
      </w:r>
      <w:r w:rsidR="00CE3D91">
        <w:rPr>
          <w:color w:val="222222"/>
          <w:lang w:val="en"/>
        </w:rPr>
        <w:t xml:space="preserve"> also</w:t>
      </w:r>
      <w:r>
        <w:rPr>
          <w:color w:val="222222"/>
          <w:lang w:val="en"/>
        </w:rPr>
        <w:t xml:space="preserve"> “Service and Filing of Briefs”</w:t>
      </w:r>
      <w:r w:rsidR="00C56230">
        <w:rPr>
          <w:color w:val="222222"/>
          <w:lang w:val="en"/>
        </w:rPr>
        <w:t xml:space="preserve"> above (paragraphs [1</w:t>
      </w:r>
      <w:r w:rsidR="00977204">
        <w:rPr>
          <w:color w:val="222222"/>
          <w:lang w:val="en"/>
        </w:rPr>
        <w:t>5</w:t>
      </w:r>
      <w:r w:rsidR="00C56230">
        <w:rPr>
          <w:color w:val="222222"/>
          <w:lang w:val="en"/>
        </w:rPr>
        <w:t>] and [1</w:t>
      </w:r>
      <w:r w:rsidR="00977204">
        <w:rPr>
          <w:color w:val="222222"/>
          <w:lang w:val="en"/>
        </w:rPr>
        <w:t>6</w:t>
      </w:r>
      <w:r>
        <w:rPr>
          <w:color w:val="222222"/>
          <w:lang w:val="en"/>
        </w:rPr>
        <w:t>]).</w:t>
      </w:r>
    </w:p>
    <w:p w:rsidR="00A15E5D" w:rsidRDefault="00AE3C32" w:rsidP="00A27CCF">
      <w:pPr>
        <w:pStyle w:val="MainParagraph"/>
        <w:spacing w:line="360" w:lineRule="auto"/>
        <w:ind w:hanging="720"/>
        <w:rPr>
          <w:color w:val="222222"/>
          <w:lang w:val="en"/>
        </w:rPr>
      </w:pPr>
      <w:r>
        <w:rPr>
          <w:color w:val="222222"/>
          <w:lang w:val="en"/>
        </w:rPr>
        <w:t>The Form 17</w:t>
      </w:r>
      <w:r w:rsidR="00A15E5D">
        <w:rPr>
          <w:color w:val="222222"/>
          <w:lang w:val="en"/>
        </w:rPr>
        <w:t xml:space="preserve">C confirmation is a filing requirement </w:t>
      </w:r>
      <w:r w:rsidR="00A15E5D" w:rsidRPr="00A15E5D">
        <w:rPr>
          <w:b/>
          <w:color w:val="222222"/>
          <w:lang w:val="en"/>
        </w:rPr>
        <w:t>in addition to</w:t>
      </w:r>
      <w:r w:rsidR="00A15E5D">
        <w:rPr>
          <w:color w:val="222222"/>
          <w:lang w:val="en"/>
        </w:rPr>
        <w:t xml:space="preserve"> the deadline for filing Briefs. </w:t>
      </w:r>
      <w:r w:rsidR="00A15E5D" w:rsidRPr="00A15E5D">
        <w:rPr>
          <w:b/>
          <w:color w:val="222222"/>
          <w:lang w:val="en"/>
        </w:rPr>
        <w:t>In other words, the filing of the Brief does not relieve a party from serving and filing their confi</w:t>
      </w:r>
      <w:r w:rsidR="00A15E5D">
        <w:rPr>
          <w:b/>
          <w:color w:val="222222"/>
          <w:lang w:val="en"/>
        </w:rPr>
        <w:t>r</w:t>
      </w:r>
      <w:r w:rsidR="00A15E5D" w:rsidRPr="00A15E5D">
        <w:rPr>
          <w:b/>
          <w:color w:val="222222"/>
          <w:lang w:val="en"/>
        </w:rPr>
        <w:t>mation</w:t>
      </w:r>
      <w:r w:rsidR="00A15E5D">
        <w:rPr>
          <w:color w:val="222222"/>
          <w:lang w:val="en"/>
        </w:rPr>
        <w:t xml:space="preserve">. </w:t>
      </w:r>
    </w:p>
    <w:p w:rsidR="009F45C4" w:rsidRDefault="00AE3C32" w:rsidP="00A27CCF">
      <w:pPr>
        <w:pStyle w:val="MainParagraph"/>
        <w:spacing w:line="360" w:lineRule="auto"/>
        <w:ind w:hanging="720"/>
        <w:rPr>
          <w:color w:val="222222"/>
          <w:lang w:val="en"/>
        </w:rPr>
      </w:pPr>
      <w:r>
        <w:rPr>
          <w:color w:val="222222"/>
          <w:lang w:val="en"/>
        </w:rPr>
        <w:t>Form 17</w:t>
      </w:r>
      <w:r w:rsidR="00A15E5D">
        <w:rPr>
          <w:color w:val="222222"/>
          <w:lang w:val="en"/>
        </w:rPr>
        <w:t>C requires the parties to discuss with each oth</w:t>
      </w:r>
      <w:r w:rsidR="00977204">
        <w:rPr>
          <w:color w:val="222222"/>
          <w:lang w:val="en"/>
        </w:rPr>
        <w:t xml:space="preserve">er beforehand what </w:t>
      </w:r>
      <w:proofErr w:type="gramStart"/>
      <w:r w:rsidR="009F45C4">
        <w:rPr>
          <w:color w:val="222222"/>
          <w:lang w:val="en"/>
        </w:rPr>
        <w:t xml:space="preserve">are </w:t>
      </w:r>
      <w:r w:rsidR="00A15E5D">
        <w:rPr>
          <w:color w:val="222222"/>
          <w:lang w:val="en"/>
        </w:rPr>
        <w:t>the important issues for the conference</w:t>
      </w:r>
      <w:proofErr w:type="gramEnd"/>
      <w:r w:rsidR="009F45C4">
        <w:rPr>
          <w:color w:val="222222"/>
          <w:lang w:val="en"/>
        </w:rPr>
        <w:t xml:space="preserve"> and how much time</w:t>
      </w:r>
      <w:r w:rsidR="00A15E5D">
        <w:rPr>
          <w:color w:val="222222"/>
          <w:lang w:val="en"/>
        </w:rPr>
        <w:t xml:space="preserve"> each party</w:t>
      </w:r>
      <w:r w:rsidR="009F45C4">
        <w:rPr>
          <w:color w:val="222222"/>
          <w:lang w:val="en"/>
        </w:rPr>
        <w:t xml:space="preserve"> expects will be needed to tell the judge what is needed for their case. </w:t>
      </w:r>
      <w:r w:rsidR="00E22EEB" w:rsidRPr="00E22EEB">
        <w:rPr>
          <w:b/>
          <w:color w:val="222222"/>
          <w:lang w:val="en"/>
        </w:rPr>
        <w:t xml:space="preserve">It is </w:t>
      </w:r>
      <w:r w:rsidR="00E22EEB">
        <w:rPr>
          <w:b/>
          <w:color w:val="222222"/>
          <w:lang w:val="en"/>
        </w:rPr>
        <w:t>required that each party list</w:t>
      </w:r>
      <w:r w:rsidR="00E22EEB" w:rsidRPr="00E22EEB">
        <w:rPr>
          <w:b/>
          <w:color w:val="222222"/>
          <w:lang w:val="en"/>
        </w:rPr>
        <w:t xml:space="preserve"> what </w:t>
      </w:r>
      <w:r w:rsidR="00E22EEB">
        <w:rPr>
          <w:b/>
          <w:color w:val="222222"/>
          <w:lang w:val="en"/>
        </w:rPr>
        <w:t xml:space="preserve">they think are </w:t>
      </w:r>
      <w:r w:rsidR="00E22EEB" w:rsidRPr="00E22EEB">
        <w:rPr>
          <w:b/>
          <w:color w:val="222222"/>
          <w:lang w:val="en"/>
        </w:rPr>
        <w:t>the important</w:t>
      </w:r>
      <w:r w:rsidR="00E22EEB">
        <w:rPr>
          <w:color w:val="222222"/>
          <w:lang w:val="en"/>
        </w:rPr>
        <w:t xml:space="preserve"> </w:t>
      </w:r>
      <w:r w:rsidR="00E22EEB" w:rsidRPr="00E22EEB">
        <w:rPr>
          <w:b/>
          <w:color w:val="222222"/>
          <w:lang w:val="en"/>
        </w:rPr>
        <w:t>issues</w:t>
      </w:r>
      <w:r w:rsidR="00E22EEB">
        <w:rPr>
          <w:b/>
          <w:color w:val="222222"/>
          <w:lang w:val="en"/>
        </w:rPr>
        <w:t xml:space="preserve"> for that conference</w:t>
      </w:r>
      <w:r w:rsidR="00E22EEB">
        <w:rPr>
          <w:color w:val="222222"/>
          <w:lang w:val="en"/>
        </w:rPr>
        <w:t xml:space="preserve">. </w:t>
      </w:r>
      <w:r w:rsidR="009F45C4">
        <w:rPr>
          <w:color w:val="222222"/>
          <w:lang w:val="en"/>
        </w:rPr>
        <w:t>T</w:t>
      </w:r>
      <w:r w:rsidR="00A91E7A">
        <w:rPr>
          <w:color w:val="222222"/>
          <w:lang w:val="en"/>
        </w:rPr>
        <w:t>his</w:t>
      </w:r>
      <w:r w:rsidR="007A0E96">
        <w:rPr>
          <w:color w:val="222222"/>
          <w:lang w:val="en"/>
        </w:rPr>
        <w:t xml:space="preserve"> list i</w:t>
      </w:r>
      <w:r w:rsidR="00E22EEB">
        <w:rPr>
          <w:color w:val="222222"/>
          <w:lang w:val="en"/>
        </w:rPr>
        <w:t xml:space="preserve">s like an </w:t>
      </w:r>
      <w:r w:rsidR="00E22EEB" w:rsidRPr="00E22EEB">
        <w:rPr>
          <w:b/>
          <w:color w:val="222222"/>
          <w:lang w:val="en"/>
        </w:rPr>
        <w:t>Agenda</w:t>
      </w:r>
      <w:r w:rsidR="00E22EEB">
        <w:rPr>
          <w:color w:val="222222"/>
          <w:lang w:val="en"/>
        </w:rPr>
        <w:t xml:space="preserve"> and</w:t>
      </w:r>
      <w:r w:rsidR="00A91E7A">
        <w:rPr>
          <w:color w:val="222222"/>
          <w:lang w:val="en"/>
        </w:rPr>
        <w:t xml:space="preserve"> will enable the</w:t>
      </w:r>
      <w:r w:rsidR="009F45C4">
        <w:rPr>
          <w:color w:val="222222"/>
          <w:lang w:val="en"/>
        </w:rPr>
        <w:t xml:space="preserve"> judge</w:t>
      </w:r>
      <w:r w:rsidR="00A91E7A">
        <w:rPr>
          <w:color w:val="222222"/>
          <w:lang w:val="en"/>
        </w:rPr>
        <w:t>,</w:t>
      </w:r>
      <w:r w:rsidR="009F45C4">
        <w:rPr>
          <w:color w:val="222222"/>
          <w:lang w:val="en"/>
        </w:rPr>
        <w:t xml:space="preserve"> </w:t>
      </w:r>
      <w:r w:rsidR="00A91E7A">
        <w:rPr>
          <w:color w:val="222222"/>
          <w:lang w:val="en"/>
        </w:rPr>
        <w:t xml:space="preserve">who </w:t>
      </w:r>
      <w:r w:rsidR="009F45C4">
        <w:rPr>
          <w:color w:val="222222"/>
          <w:lang w:val="en"/>
        </w:rPr>
        <w:t>will have read the Briefs beforehand</w:t>
      </w:r>
      <w:r w:rsidR="00A91E7A">
        <w:rPr>
          <w:color w:val="222222"/>
          <w:lang w:val="en"/>
        </w:rPr>
        <w:t>, to focus on the issues and consider how to handle them.</w:t>
      </w:r>
      <w:r w:rsidR="00F13082">
        <w:rPr>
          <w:color w:val="222222"/>
          <w:lang w:val="en"/>
        </w:rPr>
        <w:t xml:space="preserve"> Paragraphs 1-6 of the Practice Direction contain further information about what is expected of the parties when confirming the conference. </w:t>
      </w:r>
    </w:p>
    <w:p w:rsidR="00934995" w:rsidRPr="00456289" w:rsidRDefault="00934995" w:rsidP="00A27CCF">
      <w:pPr>
        <w:pStyle w:val="MainParagraph"/>
        <w:tabs>
          <w:tab w:val="clear" w:pos="720"/>
          <w:tab w:val="left" w:pos="1418"/>
        </w:tabs>
        <w:spacing w:line="360" w:lineRule="auto"/>
        <w:ind w:hanging="720"/>
        <w:rPr>
          <w:color w:val="222222"/>
          <w:lang w:val="en"/>
        </w:rPr>
      </w:pPr>
      <w:r w:rsidRPr="00456289">
        <w:rPr>
          <w:color w:val="222222"/>
          <w:lang w:val="en"/>
        </w:rPr>
        <w:t>If no Confirmation is filed, the conference will be struck from the list and not heard</w:t>
      </w:r>
      <w:r w:rsidR="00880502">
        <w:rPr>
          <w:color w:val="222222"/>
          <w:lang w:val="en"/>
        </w:rPr>
        <w:t xml:space="preserve"> </w:t>
      </w:r>
      <w:r w:rsidR="00880502" w:rsidRPr="00880502">
        <w:rPr>
          <w:color w:val="222222"/>
          <w:u w:val="single"/>
          <w:lang w:val="en"/>
        </w:rPr>
        <w:t>unless the court orders otherwise</w:t>
      </w:r>
      <w:r w:rsidRPr="00456289">
        <w:rPr>
          <w:color w:val="222222"/>
          <w:lang w:val="en"/>
        </w:rPr>
        <w:t>.</w:t>
      </w:r>
      <w:r w:rsidR="00C627CA" w:rsidRPr="00456289">
        <w:rPr>
          <w:color w:val="222222"/>
          <w:lang w:val="en"/>
        </w:rPr>
        <w:t xml:space="preserve">  Rule 17(14.1) states:</w:t>
      </w:r>
    </w:p>
    <w:p w:rsidR="00C627CA" w:rsidRDefault="00C627CA" w:rsidP="00A27CCF">
      <w:pPr>
        <w:pStyle w:val="MainParagraph"/>
        <w:numPr>
          <w:ilvl w:val="0"/>
          <w:numId w:val="0"/>
        </w:numPr>
        <w:tabs>
          <w:tab w:val="clear" w:pos="720"/>
          <w:tab w:val="left" w:pos="1276"/>
        </w:tabs>
        <w:ind w:left="1418" w:right="713"/>
        <w:rPr>
          <w:b/>
          <w:color w:val="222222"/>
          <w:lang w:val="en"/>
        </w:rPr>
      </w:pPr>
      <w:r>
        <w:rPr>
          <w:b/>
          <w:color w:val="222222"/>
          <w:lang w:val="en"/>
        </w:rPr>
        <w:t>EFFECT OF FAILURE TO CONFIRM</w:t>
      </w:r>
    </w:p>
    <w:p w:rsidR="00C627CA" w:rsidRDefault="00C627CA" w:rsidP="00A27CCF">
      <w:pPr>
        <w:pStyle w:val="MainParagraph"/>
        <w:numPr>
          <w:ilvl w:val="0"/>
          <w:numId w:val="0"/>
        </w:numPr>
        <w:tabs>
          <w:tab w:val="clear" w:pos="720"/>
        </w:tabs>
        <w:ind w:left="1418" w:right="713"/>
        <w:rPr>
          <w:color w:val="222222"/>
          <w:lang w:val="en"/>
        </w:rPr>
      </w:pPr>
      <w:r w:rsidRPr="00C627CA">
        <w:rPr>
          <w:color w:val="222222"/>
          <w:lang w:val="en"/>
        </w:rPr>
        <w:t>(14.1</w:t>
      </w:r>
      <w:r>
        <w:rPr>
          <w:color w:val="222222"/>
          <w:lang w:val="en"/>
        </w:rPr>
        <w:t xml:space="preserve">)  </w:t>
      </w:r>
      <w:proofErr w:type="gramStart"/>
      <w:r>
        <w:rPr>
          <w:color w:val="222222"/>
          <w:lang w:val="en"/>
        </w:rPr>
        <w:t>Unless</w:t>
      </w:r>
      <w:proofErr w:type="gramEnd"/>
      <w:r>
        <w:rPr>
          <w:color w:val="222222"/>
          <w:lang w:val="en"/>
        </w:rPr>
        <w:t xml:space="preserve"> the court orders otherwise, a conference shall not be held if confirmation of the conference is not given to the clerk in accordance with clause (14) (c).  O. Reg. 298/18, s. 12 (3).</w:t>
      </w:r>
    </w:p>
    <w:p w:rsidR="00456289" w:rsidRDefault="00456289" w:rsidP="00A27CCF">
      <w:pPr>
        <w:pStyle w:val="MainParagraph"/>
        <w:tabs>
          <w:tab w:val="clear" w:pos="720"/>
          <w:tab w:val="left" w:pos="1418"/>
        </w:tabs>
        <w:spacing w:line="360" w:lineRule="auto"/>
        <w:ind w:hanging="720"/>
        <w:rPr>
          <w:color w:val="222222"/>
          <w:lang w:val="en"/>
        </w:rPr>
      </w:pPr>
      <w:r>
        <w:rPr>
          <w:color w:val="222222"/>
          <w:lang w:val="en"/>
        </w:rPr>
        <w:t>If the conference is not confirmed, the Registrar will en</w:t>
      </w:r>
      <w:r w:rsidR="00B75717">
        <w:rPr>
          <w:color w:val="222222"/>
          <w:lang w:val="en"/>
        </w:rPr>
        <w:t>dorse</w:t>
      </w:r>
      <w:r>
        <w:rPr>
          <w:color w:val="222222"/>
          <w:lang w:val="en"/>
        </w:rPr>
        <w:t xml:space="preserve"> the Record that no further steps in the case may be taken without the parties obtaining from the court an Order pursuant to Form 14B supported by an affidavit satisfactorily explaining the reason why the conference was not confirmed.</w:t>
      </w:r>
    </w:p>
    <w:p w:rsidR="00B75717" w:rsidRPr="00C627CA" w:rsidRDefault="00B75717" w:rsidP="00A27CCF">
      <w:pPr>
        <w:pStyle w:val="MainParagraph"/>
        <w:tabs>
          <w:tab w:val="clear" w:pos="720"/>
          <w:tab w:val="left" w:pos="1418"/>
        </w:tabs>
        <w:spacing w:line="360" w:lineRule="auto"/>
        <w:ind w:hanging="720"/>
        <w:rPr>
          <w:color w:val="222222"/>
          <w:lang w:val="en"/>
        </w:rPr>
      </w:pPr>
      <w:r>
        <w:rPr>
          <w:color w:val="222222"/>
          <w:lang w:val="en"/>
        </w:rPr>
        <w:t>In the event that there should be any change to the confirmation sent (such as certain issues being settled, or inadvertently omitted) the parties should let the court know right away.</w:t>
      </w:r>
    </w:p>
    <w:p w:rsidR="00C627CA" w:rsidRDefault="00C627CA" w:rsidP="00A27CCF">
      <w:pPr>
        <w:pStyle w:val="MainParagraph"/>
        <w:numPr>
          <w:ilvl w:val="0"/>
          <w:numId w:val="0"/>
        </w:numPr>
        <w:tabs>
          <w:tab w:val="clear" w:pos="720"/>
          <w:tab w:val="left" w:pos="1276"/>
        </w:tabs>
        <w:ind w:left="1418" w:right="713"/>
        <w:rPr>
          <w:b/>
          <w:color w:val="222222"/>
          <w:lang w:val="en"/>
        </w:rPr>
      </w:pPr>
      <w:r>
        <w:rPr>
          <w:b/>
          <w:color w:val="222222"/>
          <w:lang w:val="en"/>
        </w:rPr>
        <w:t>PARTIES TO UPDATE CONFIRMATION</w:t>
      </w:r>
    </w:p>
    <w:p w:rsidR="00C627CA" w:rsidRDefault="00C627CA" w:rsidP="00A27CCF">
      <w:pPr>
        <w:pStyle w:val="MainParagraph"/>
        <w:numPr>
          <w:ilvl w:val="0"/>
          <w:numId w:val="0"/>
        </w:numPr>
        <w:tabs>
          <w:tab w:val="clear" w:pos="720"/>
          <w:tab w:val="left" w:pos="1418"/>
        </w:tabs>
        <w:spacing w:after="120"/>
        <w:ind w:left="1418" w:right="714"/>
        <w:rPr>
          <w:color w:val="222222"/>
          <w:lang w:val="en"/>
        </w:rPr>
      </w:pPr>
      <w:r>
        <w:rPr>
          <w:color w:val="222222"/>
          <w:lang w:val="en"/>
        </w:rPr>
        <w:t xml:space="preserve">(14.1.1)  </w:t>
      </w:r>
      <w:proofErr w:type="gramStart"/>
      <w:r>
        <w:rPr>
          <w:color w:val="222222"/>
          <w:lang w:val="en"/>
        </w:rPr>
        <w:t>If</w:t>
      </w:r>
      <w:proofErr w:type="gramEnd"/>
      <w:r>
        <w:rPr>
          <w:color w:val="222222"/>
          <w:lang w:val="en"/>
        </w:rPr>
        <w:t xml:space="preserve"> a party who has given a confirmation of conference determines at any time before the conference is held that the confirmation is no longer correct, the party shall, if possible, immediately, </w:t>
      </w:r>
    </w:p>
    <w:p w:rsidR="00C627CA" w:rsidRDefault="00C627CA" w:rsidP="00A27CCF">
      <w:pPr>
        <w:pStyle w:val="MainParagraph"/>
        <w:numPr>
          <w:ilvl w:val="0"/>
          <w:numId w:val="0"/>
        </w:numPr>
        <w:tabs>
          <w:tab w:val="clear" w:pos="720"/>
          <w:tab w:val="left" w:pos="1418"/>
        </w:tabs>
        <w:spacing w:after="120"/>
        <w:ind w:left="1418" w:right="714"/>
        <w:rPr>
          <w:color w:val="222222"/>
          <w:lang w:val="en"/>
        </w:rPr>
      </w:pPr>
      <w:r>
        <w:rPr>
          <w:color w:val="222222"/>
          <w:lang w:val="en"/>
        </w:rPr>
        <w:t>(a)  give a copy of the corrected confirmation of conference in Form 17F to every other party using a method listed in clause (14) (b) and subsequently give the clerk the corrected confirmation of conference by a method listed in clause (14) (c); or</w:t>
      </w:r>
    </w:p>
    <w:p w:rsidR="00C627CA" w:rsidRDefault="00C627CA" w:rsidP="00A27CCF">
      <w:pPr>
        <w:pStyle w:val="MainParagraph"/>
        <w:numPr>
          <w:ilvl w:val="0"/>
          <w:numId w:val="0"/>
        </w:numPr>
        <w:tabs>
          <w:tab w:val="clear" w:pos="720"/>
        </w:tabs>
        <w:ind w:left="1418" w:right="714"/>
        <w:rPr>
          <w:color w:val="222222"/>
          <w:lang w:val="en"/>
        </w:rPr>
      </w:pPr>
      <w:r>
        <w:rPr>
          <w:color w:val="222222"/>
          <w:lang w:val="en"/>
        </w:rPr>
        <w:t xml:space="preserve">(b)  </w:t>
      </w:r>
      <w:proofErr w:type="gramStart"/>
      <w:r>
        <w:rPr>
          <w:color w:val="222222"/>
          <w:lang w:val="en"/>
        </w:rPr>
        <w:t>in</w:t>
      </w:r>
      <w:proofErr w:type="gramEnd"/>
      <w:r>
        <w:rPr>
          <w:color w:val="222222"/>
          <w:lang w:val="en"/>
        </w:rPr>
        <w:t xml:space="preserve"> a child protection case, give the clerk a corrected confirmation of conference in Form 17F by a method listed in clause (14) (c).  O. Reg. 298/18, s. 12 (3).</w:t>
      </w:r>
    </w:p>
    <w:p w:rsidR="00A91E7A" w:rsidRPr="00A91E7A" w:rsidRDefault="00A91E7A" w:rsidP="00A91E7A">
      <w:pPr>
        <w:pStyle w:val="MainParagraph"/>
        <w:numPr>
          <w:ilvl w:val="0"/>
          <w:numId w:val="0"/>
        </w:numPr>
        <w:ind w:left="-90"/>
        <w:rPr>
          <w:b/>
          <w:color w:val="222222"/>
          <w:u w:val="single"/>
          <w:lang w:val="en"/>
        </w:rPr>
      </w:pPr>
      <w:r w:rsidRPr="00A91E7A">
        <w:rPr>
          <w:b/>
          <w:color w:val="222222"/>
          <w:u w:val="single"/>
          <w:lang w:val="en"/>
        </w:rPr>
        <w:t>The Conference</w:t>
      </w:r>
    </w:p>
    <w:p w:rsidR="00A91E7A" w:rsidRDefault="001301AB" w:rsidP="00A27CCF">
      <w:pPr>
        <w:pStyle w:val="MainParagraph"/>
        <w:spacing w:line="360" w:lineRule="auto"/>
        <w:ind w:hanging="720"/>
        <w:rPr>
          <w:color w:val="222222"/>
          <w:lang w:val="en"/>
        </w:rPr>
      </w:pPr>
      <w:r>
        <w:rPr>
          <w:color w:val="222222"/>
          <w:lang w:val="en"/>
        </w:rPr>
        <w:t>The Conference will proceed on</w:t>
      </w:r>
      <w:r w:rsidR="00A91E7A">
        <w:rPr>
          <w:color w:val="222222"/>
          <w:lang w:val="en"/>
        </w:rPr>
        <w:t xml:space="preserve"> the date and </w:t>
      </w:r>
      <w:r>
        <w:rPr>
          <w:color w:val="222222"/>
          <w:lang w:val="en"/>
        </w:rPr>
        <w:t xml:space="preserve">at the </w:t>
      </w:r>
      <w:r w:rsidR="00A91E7A">
        <w:rPr>
          <w:color w:val="222222"/>
          <w:lang w:val="en"/>
        </w:rPr>
        <w:t xml:space="preserve">time scheduled. </w:t>
      </w:r>
      <w:r w:rsidR="00B84EDF">
        <w:rPr>
          <w:color w:val="222222"/>
          <w:lang w:val="en"/>
        </w:rPr>
        <w:t>Th</w:t>
      </w:r>
      <w:r>
        <w:rPr>
          <w:color w:val="222222"/>
          <w:lang w:val="en"/>
        </w:rPr>
        <w:t>e parties and their lawyers can</w:t>
      </w:r>
      <w:r w:rsidR="00B84EDF">
        <w:rPr>
          <w:color w:val="222222"/>
          <w:lang w:val="en"/>
        </w:rPr>
        <w:t xml:space="preserve"> locate the courtroom where the conference will be held on a</w:t>
      </w:r>
      <w:r>
        <w:rPr>
          <w:color w:val="222222"/>
          <w:lang w:val="en"/>
        </w:rPr>
        <w:t xml:space="preserve"> Notice board outside the court</w:t>
      </w:r>
      <w:r w:rsidR="00B84EDF">
        <w:rPr>
          <w:color w:val="222222"/>
          <w:lang w:val="en"/>
        </w:rPr>
        <w:t xml:space="preserve"> and speak to a Cour</w:t>
      </w:r>
      <w:r>
        <w:rPr>
          <w:color w:val="222222"/>
          <w:lang w:val="en"/>
        </w:rPr>
        <w:t>t Services Officer who will record</w:t>
      </w:r>
      <w:r w:rsidR="00B84EDF">
        <w:rPr>
          <w:color w:val="222222"/>
          <w:lang w:val="en"/>
        </w:rPr>
        <w:t xml:space="preserve"> their presence.</w:t>
      </w:r>
      <w:r w:rsidR="00AE3C32">
        <w:rPr>
          <w:color w:val="222222"/>
          <w:lang w:val="en"/>
        </w:rPr>
        <w:t xml:space="preserve"> If you do not have a lawyer, you should consider arriving at court well before the scheduled time for the conference to speak to duty counsel who may be able to assist you.</w:t>
      </w:r>
    </w:p>
    <w:p w:rsidR="00B84EDF" w:rsidRDefault="00B84EDF" w:rsidP="00A27CCF">
      <w:pPr>
        <w:pStyle w:val="MainParagraph"/>
        <w:spacing w:line="360" w:lineRule="auto"/>
        <w:ind w:hanging="720"/>
        <w:rPr>
          <w:color w:val="222222"/>
          <w:lang w:val="en"/>
        </w:rPr>
      </w:pPr>
      <w:r>
        <w:rPr>
          <w:color w:val="222222"/>
          <w:lang w:val="en"/>
        </w:rPr>
        <w:t>The parties and their lawyers will attend before the judge when their case is called. If the parties have complied with the Rules and properly identified the important issues, the judge will discuss with them what can, or should, be done. Most often the parties and their lawyers will be directed by the judge to discuss outside of the courtroom what</w:t>
      </w:r>
      <w:r w:rsidR="00613603">
        <w:rPr>
          <w:color w:val="222222"/>
          <w:lang w:val="en"/>
        </w:rPr>
        <w:t xml:space="preserve"> kind of Order(s) should be made. The judge can make an Order that the judge considers is appropriate (see “Orders at a Case Conference” above) or the judge can make an Order to which the parties have consented in writing at</w:t>
      </w:r>
      <w:r w:rsidR="00040C77">
        <w:rPr>
          <w:color w:val="222222"/>
          <w:lang w:val="en"/>
        </w:rPr>
        <w:t xml:space="preserve"> the conference: this could include a final Order settling one or more of the disputed issues.</w:t>
      </w:r>
      <w:r w:rsidR="00253ED3">
        <w:rPr>
          <w:color w:val="222222"/>
          <w:lang w:val="en"/>
        </w:rPr>
        <w:t xml:space="preserve"> If your case is one that may involve the valuation of assets, analysis of a party’s income or any other matter that may require expert opinion evidence it is a good idea to make a request for that Order at the case conference because an expert’s written opinion</w:t>
      </w:r>
      <w:r w:rsidR="0076407A">
        <w:rPr>
          <w:color w:val="222222"/>
          <w:lang w:val="en"/>
        </w:rPr>
        <w:t xml:space="preserve"> or report must be served and filed at least 6 days before the settlement conference which is the next (mandatory</w:t>
      </w:r>
      <w:r w:rsidR="00485762">
        <w:rPr>
          <w:color w:val="222222"/>
          <w:lang w:val="en"/>
        </w:rPr>
        <w:t>)</w:t>
      </w:r>
      <w:r w:rsidR="0076407A">
        <w:rPr>
          <w:color w:val="222222"/>
          <w:lang w:val="en"/>
        </w:rPr>
        <w:t xml:space="preserve"> event in the case. This may avoid having to bring a motion for this relief later.</w:t>
      </w:r>
    </w:p>
    <w:p w:rsidR="00613603" w:rsidRDefault="00613603" w:rsidP="00A27CCF">
      <w:pPr>
        <w:pStyle w:val="MainParagraph"/>
        <w:spacing w:line="360" w:lineRule="auto"/>
        <w:ind w:hanging="720"/>
        <w:rPr>
          <w:color w:val="222222"/>
          <w:lang w:val="en"/>
        </w:rPr>
      </w:pPr>
      <w:r>
        <w:rPr>
          <w:color w:val="222222"/>
          <w:lang w:val="en"/>
        </w:rPr>
        <w:t>When the conference has ended, the judge will make an endorsement in the court file that a case conference has been held and note whether any Orders are being made. A copy of that endorsement will be given to the parties and their lawyers by the Court Services Officer afterwards.</w:t>
      </w:r>
      <w:r w:rsidR="0021731D">
        <w:rPr>
          <w:color w:val="222222"/>
          <w:lang w:val="en"/>
        </w:rPr>
        <w:t xml:space="preserve"> If an Order is made, it is the responsibility of the lawyers (if there are lawyers involved) to draft the Order and have it issued by the court. If the parties are representing themselves, the judge will direct the court administration to prepare the Order and send an issued copy to each party.</w:t>
      </w:r>
    </w:p>
    <w:p w:rsidR="00B84EDF" w:rsidRDefault="00B84EDF" w:rsidP="00A27CCF">
      <w:pPr>
        <w:pStyle w:val="MainParagraph"/>
        <w:spacing w:line="360" w:lineRule="auto"/>
        <w:ind w:hanging="720"/>
      </w:pPr>
      <w:r>
        <w:t>Briefs are to be returned at the end of the conference or they will be destroyed by court staff. The court can order that a Case Conference Brief be filed as part of the Continuing Record maintained by the court (Rule 17(22)) but if there are references to settlement of the case that portion of the Brief must be deleted (Rule 17(22.1)).</w:t>
      </w:r>
    </w:p>
    <w:p w:rsidR="00333F50" w:rsidRPr="004444F7" w:rsidRDefault="00333F50" w:rsidP="00333F50">
      <w:pPr>
        <w:pStyle w:val="MainParagraph"/>
        <w:numPr>
          <w:ilvl w:val="0"/>
          <w:numId w:val="0"/>
        </w:numPr>
        <w:ind w:left="270" w:hanging="360"/>
        <w:rPr>
          <w:b/>
          <w:u w:val="single"/>
        </w:rPr>
      </w:pPr>
      <w:r w:rsidRPr="004444F7">
        <w:rPr>
          <w:b/>
          <w:u w:val="single"/>
        </w:rPr>
        <w:t>Costs</w:t>
      </w:r>
    </w:p>
    <w:p w:rsidR="00333F50" w:rsidRDefault="00333F50" w:rsidP="00A27CCF">
      <w:pPr>
        <w:pStyle w:val="MainParagraph"/>
        <w:spacing w:line="360" w:lineRule="auto"/>
        <w:ind w:hanging="720"/>
      </w:pPr>
      <w:r>
        <w:t>T</w:t>
      </w:r>
      <w:r w:rsidRPr="005D3C40">
        <w:t xml:space="preserve">he judge hearing the </w:t>
      </w:r>
      <w:r>
        <w:t>C</w:t>
      </w:r>
      <w:r w:rsidRPr="005D3C40">
        <w:t xml:space="preserve">ase </w:t>
      </w:r>
      <w:r>
        <w:t>C</w:t>
      </w:r>
      <w:r w:rsidRPr="005D3C40">
        <w:t xml:space="preserve">onference </w:t>
      </w:r>
      <w:r>
        <w:t xml:space="preserve">may </w:t>
      </w:r>
      <w:r w:rsidRPr="005D3C40">
        <w:t xml:space="preserve">make an </w:t>
      </w:r>
      <w:r>
        <w:t>O</w:t>
      </w:r>
      <w:r w:rsidRPr="005D3C40">
        <w:t>rder for costs in appropriate circumstances</w:t>
      </w:r>
      <w:r>
        <w:t xml:space="preserve">, </w:t>
      </w:r>
    </w:p>
    <w:p w:rsidR="00150417" w:rsidRPr="00880502" w:rsidRDefault="00150417" w:rsidP="00A27CCF">
      <w:pPr>
        <w:pStyle w:val="MainParagraph"/>
        <w:numPr>
          <w:ilvl w:val="0"/>
          <w:numId w:val="0"/>
        </w:numPr>
        <w:spacing w:after="120"/>
        <w:ind w:left="629" w:firstLine="788"/>
        <w:rPr>
          <w:b/>
        </w:rPr>
      </w:pPr>
      <w:r w:rsidRPr="00880502">
        <w:rPr>
          <w:b/>
        </w:rPr>
        <w:t>COSTS</w:t>
      </w:r>
    </w:p>
    <w:p w:rsidR="00333F50" w:rsidRDefault="00FA6BAA" w:rsidP="00E02724">
      <w:pPr>
        <w:pStyle w:val="MainParagraph"/>
        <w:numPr>
          <w:ilvl w:val="0"/>
          <w:numId w:val="0"/>
        </w:numPr>
        <w:spacing w:after="120"/>
        <w:ind w:left="1440" w:right="1440"/>
        <w:rPr>
          <w:lang w:val="en"/>
        </w:rPr>
      </w:pPr>
      <w:hyperlink r:id="rId14" w:anchor="s17s18" w:history="1">
        <w:r w:rsidR="00333F50" w:rsidRPr="0036789A">
          <w:rPr>
            <w:rStyle w:val="Hyperlink"/>
            <w:rFonts w:cs="Helvetica"/>
            <w:color w:val="auto"/>
            <w:lang w:val="en-US"/>
          </w:rPr>
          <w:t>(18)</w:t>
        </w:r>
      </w:hyperlink>
      <w:r w:rsidR="00333F50">
        <w:rPr>
          <w:lang w:val="en"/>
        </w:rPr>
        <w:t xml:space="preserve"> </w:t>
      </w:r>
      <w:r w:rsidR="00150417">
        <w:rPr>
          <w:lang w:val="en"/>
        </w:rPr>
        <w:t xml:space="preserve">Costs shall not be awarded at a conference unless a party to the conference was not prepared, did not serve a required brief, did not make any required disclosure, otherwise contributed to the conference being unproductive or otherwise did not follow these rules, in which case the judge shall, despite </w:t>
      </w:r>
      <w:proofErr w:type="spellStart"/>
      <w:r w:rsidR="00150417">
        <w:rPr>
          <w:lang w:val="en"/>
        </w:rPr>
        <w:t>subrule</w:t>
      </w:r>
      <w:proofErr w:type="spellEnd"/>
      <w:r w:rsidR="00150417">
        <w:rPr>
          <w:lang w:val="en"/>
        </w:rPr>
        <w:t xml:space="preserve"> 24 (10)</w:t>
      </w:r>
      <w:r w:rsidR="00B75717">
        <w:rPr>
          <w:rStyle w:val="FootnoteReference"/>
          <w:lang w:val="en"/>
        </w:rPr>
        <w:footnoteReference w:id="1"/>
      </w:r>
      <w:r w:rsidR="00150417">
        <w:rPr>
          <w:lang w:val="en"/>
        </w:rPr>
        <w:t>,</w:t>
      </w:r>
    </w:p>
    <w:p w:rsidR="00333F50" w:rsidRDefault="00333F50" w:rsidP="00E02724">
      <w:pPr>
        <w:pStyle w:val="MainParagraph"/>
        <w:numPr>
          <w:ilvl w:val="0"/>
          <w:numId w:val="0"/>
        </w:numPr>
        <w:spacing w:after="120"/>
        <w:ind w:left="1440" w:right="1440"/>
        <w:rPr>
          <w:lang w:val="en"/>
        </w:rPr>
      </w:pPr>
      <w:r>
        <w:rPr>
          <w:lang w:val="en"/>
        </w:rPr>
        <w:t xml:space="preserve">(a) </w:t>
      </w:r>
      <w:proofErr w:type="gramStart"/>
      <w:r>
        <w:rPr>
          <w:lang w:val="en"/>
        </w:rPr>
        <w:t>order</w:t>
      </w:r>
      <w:proofErr w:type="gramEnd"/>
      <w:r>
        <w:rPr>
          <w:lang w:val="en"/>
        </w:rPr>
        <w:t xml:space="preserve"> the party to pay the costs of the conference immediately;</w:t>
      </w:r>
    </w:p>
    <w:p w:rsidR="00333F50" w:rsidRDefault="00333F50" w:rsidP="00E02724">
      <w:pPr>
        <w:pStyle w:val="MainParagraph"/>
        <w:numPr>
          <w:ilvl w:val="0"/>
          <w:numId w:val="0"/>
        </w:numPr>
        <w:spacing w:after="120"/>
        <w:ind w:left="1440" w:right="1440"/>
        <w:rPr>
          <w:lang w:val="en"/>
        </w:rPr>
      </w:pPr>
      <w:r>
        <w:rPr>
          <w:lang w:val="en"/>
        </w:rPr>
        <w:t xml:space="preserve">(b) </w:t>
      </w:r>
      <w:proofErr w:type="gramStart"/>
      <w:r>
        <w:rPr>
          <w:lang w:val="en"/>
        </w:rPr>
        <w:t>decide</w:t>
      </w:r>
      <w:proofErr w:type="gramEnd"/>
      <w:r>
        <w:rPr>
          <w:lang w:val="en"/>
        </w:rPr>
        <w:t xml:space="preserve"> the amount of the costs; and</w:t>
      </w:r>
    </w:p>
    <w:p w:rsidR="00150417" w:rsidRDefault="00333F50" w:rsidP="00E02724">
      <w:pPr>
        <w:pStyle w:val="MainParagraph"/>
        <w:numPr>
          <w:ilvl w:val="0"/>
          <w:numId w:val="0"/>
        </w:numPr>
        <w:spacing w:after="120"/>
        <w:ind w:left="1440" w:right="1440"/>
        <w:rPr>
          <w:lang w:val="en"/>
        </w:rPr>
      </w:pPr>
      <w:r>
        <w:rPr>
          <w:lang w:val="en"/>
        </w:rPr>
        <w:t xml:space="preserve">(c) </w:t>
      </w:r>
      <w:proofErr w:type="gramStart"/>
      <w:r>
        <w:rPr>
          <w:lang w:val="en"/>
        </w:rPr>
        <w:t>give</w:t>
      </w:r>
      <w:proofErr w:type="gramEnd"/>
      <w:r>
        <w:rPr>
          <w:lang w:val="en"/>
        </w:rPr>
        <w:t xml:space="preserve"> </w:t>
      </w:r>
      <w:r w:rsidR="00150417">
        <w:rPr>
          <w:lang w:val="en"/>
        </w:rPr>
        <w:t>any directions that are needed.  O. Reg.  114/99, r. 17 (18); O. Reg. 235/16, s. 3.</w:t>
      </w:r>
    </w:p>
    <w:p w:rsidR="00150417" w:rsidRDefault="00150417" w:rsidP="00E02724">
      <w:pPr>
        <w:pStyle w:val="MainParagraph"/>
        <w:numPr>
          <w:ilvl w:val="0"/>
          <w:numId w:val="0"/>
        </w:numPr>
        <w:spacing w:after="120"/>
        <w:ind w:left="1440" w:right="1440"/>
        <w:rPr>
          <w:lang w:val="en"/>
        </w:rPr>
      </w:pPr>
      <w:r>
        <w:rPr>
          <w:lang w:val="en"/>
        </w:rPr>
        <w:t>COSTS MAY BE AWARDED LATER</w:t>
      </w:r>
    </w:p>
    <w:p w:rsidR="00333F50" w:rsidRDefault="00150417" w:rsidP="00150417">
      <w:pPr>
        <w:pStyle w:val="MainParagraph"/>
        <w:numPr>
          <w:ilvl w:val="0"/>
          <w:numId w:val="0"/>
        </w:numPr>
        <w:ind w:left="1418" w:right="1440"/>
        <w:rPr>
          <w:lang w:val="en"/>
        </w:rPr>
      </w:pPr>
      <w:r>
        <w:rPr>
          <w:lang w:val="en"/>
        </w:rPr>
        <w:t xml:space="preserve">(18.1) </w:t>
      </w:r>
      <w:proofErr w:type="spellStart"/>
      <w:r>
        <w:rPr>
          <w:lang w:val="en"/>
        </w:rPr>
        <w:t>Subrule</w:t>
      </w:r>
      <w:proofErr w:type="spellEnd"/>
      <w:r>
        <w:rPr>
          <w:lang w:val="en"/>
        </w:rPr>
        <w:t xml:space="preserve"> (18) does not prevent the court from awarding costs in relation to the conference at a later stage in the case, if costs are not awarded at the conference.  O. Reg. 298/18, s. 12 (5).</w:t>
      </w:r>
      <w:r w:rsidR="00333F50">
        <w:rPr>
          <w:lang w:val="en"/>
        </w:rPr>
        <w:t> </w:t>
      </w:r>
    </w:p>
    <w:p w:rsidR="00333F50" w:rsidRDefault="00333F50" w:rsidP="00A27CCF">
      <w:pPr>
        <w:pStyle w:val="MainParagraph"/>
        <w:spacing w:line="360" w:lineRule="auto"/>
        <w:ind w:hanging="720"/>
      </w:pPr>
      <w:r>
        <w:t>I</w:t>
      </w:r>
      <w:r w:rsidRPr="005D3C40">
        <w:t>n addition to the provisions of</w:t>
      </w:r>
      <w:r>
        <w:t xml:space="preserve"> section 17(18) </w:t>
      </w:r>
      <w:r w:rsidRPr="005D3C40">
        <w:t xml:space="preserve">the court </w:t>
      </w:r>
      <w:r>
        <w:t xml:space="preserve">also has the power </w:t>
      </w:r>
      <w:r w:rsidRPr="005D3C40">
        <w:t xml:space="preserve">to award costs pursuant to </w:t>
      </w:r>
      <w:r>
        <w:t>R</w:t>
      </w:r>
      <w:r w:rsidRPr="005D3C40">
        <w:t xml:space="preserve">ule </w:t>
      </w:r>
      <w:r w:rsidR="00C91C1E">
        <w:t>13(17) if a party has not served or fi</w:t>
      </w:r>
      <w:r w:rsidR="003A4903">
        <w:t>led a document required by the R</w:t>
      </w:r>
      <w:r w:rsidR="00C91C1E">
        <w:t>ules.</w:t>
      </w:r>
      <w:r w:rsidR="00825972">
        <w:t xml:space="preserve">  This can be requested in a party’s </w:t>
      </w:r>
      <w:r w:rsidR="00A51C50">
        <w:t>C</w:t>
      </w:r>
      <w:r w:rsidR="00825972">
        <w:t xml:space="preserve">ase </w:t>
      </w:r>
      <w:r w:rsidR="00A51C50">
        <w:t>C</w:t>
      </w:r>
      <w:r w:rsidR="00825972">
        <w:t xml:space="preserve">onference </w:t>
      </w:r>
      <w:r w:rsidR="00A51C50">
        <w:t>B</w:t>
      </w:r>
      <w:r w:rsidR="00825972">
        <w:t>rief</w:t>
      </w:r>
      <w:r w:rsidR="003A4903">
        <w:t>,</w:t>
      </w:r>
      <w:r w:rsidR="00825972">
        <w:t xml:space="preserve"> or the court may order this be done on its own initiative.  Rule </w:t>
      </w:r>
      <w:r>
        <w:t xml:space="preserve">2(8) </w:t>
      </w:r>
      <w:r w:rsidR="00825972">
        <w:t>may also be used to r</w:t>
      </w:r>
      <w:r w:rsidR="003A4903">
        <w:t xml:space="preserve">eflect the court’s displeasure </w:t>
      </w:r>
      <w:r w:rsidR="00825972">
        <w:t xml:space="preserve">with </w:t>
      </w:r>
      <w:r w:rsidRPr="005D3C40">
        <w:t xml:space="preserve">inflammatory language, irrelevant issues </w:t>
      </w:r>
      <w:r w:rsidR="00825972">
        <w:t xml:space="preserve">raised </w:t>
      </w:r>
      <w:r w:rsidRPr="005D3C40">
        <w:t xml:space="preserve">or rambling and incoherent </w:t>
      </w:r>
      <w:r w:rsidR="00A51C50">
        <w:t>C</w:t>
      </w:r>
      <w:r w:rsidR="00825972">
        <w:t xml:space="preserve">ase </w:t>
      </w:r>
      <w:r w:rsidR="00A51C50">
        <w:t>C</w:t>
      </w:r>
      <w:r w:rsidR="00825972">
        <w:t xml:space="preserve">onference </w:t>
      </w:r>
      <w:r w:rsidR="00A51C50">
        <w:t>B</w:t>
      </w:r>
      <w:r w:rsidR="00825972">
        <w:t>riefs.</w:t>
      </w:r>
      <w:r w:rsidRPr="005D3C40">
        <w:t xml:space="preserve"> </w:t>
      </w:r>
      <w:r>
        <w:t xml:space="preserve"> </w:t>
      </w:r>
    </w:p>
    <w:p w:rsidR="00F73886" w:rsidRDefault="00F73886" w:rsidP="00B75717">
      <w:pPr>
        <w:pStyle w:val="MainParagraph"/>
        <w:numPr>
          <w:ilvl w:val="0"/>
          <w:numId w:val="0"/>
        </w:numPr>
        <w:ind w:right="1440"/>
      </w:pPr>
    </w:p>
    <w:p w:rsidR="00E02724" w:rsidRDefault="00E02724" w:rsidP="00B75717">
      <w:pPr>
        <w:pStyle w:val="MainParagraph"/>
        <w:numPr>
          <w:ilvl w:val="0"/>
          <w:numId w:val="0"/>
        </w:numPr>
        <w:ind w:right="1440"/>
      </w:pPr>
    </w:p>
    <w:p w:rsidR="00E02724" w:rsidRDefault="00E02724" w:rsidP="00B75717">
      <w:pPr>
        <w:pStyle w:val="MainParagraph"/>
        <w:numPr>
          <w:ilvl w:val="0"/>
          <w:numId w:val="0"/>
        </w:numPr>
        <w:ind w:right="1440"/>
      </w:pPr>
    </w:p>
    <w:p w:rsidR="00E02724" w:rsidRDefault="00E02724" w:rsidP="00B75717">
      <w:pPr>
        <w:pStyle w:val="MainParagraph"/>
        <w:numPr>
          <w:ilvl w:val="0"/>
          <w:numId w:val="0"/>
        </w:numPr>
        <w:ind w:right="1440"/>
      </w:pPr>
    </w:p>
    <w:p w:rsidR="00E02724" w:rsidRDefault="00E02724" w:rsidP="00B75717">
      <w:pPr>
        <w:pStyle w:val="MainParagraph"/>
        <w:numPr>
          <w:ilvl w:val="0"/>
          <w:numId w:val="0"/>
        </w:numPr>
        <w:ind w:right="1440"/>
      </w:pPr>
    </w:p>
    <w:p w:rsidR="00E02724" w:rsidRDefault="00E02724" w:rsidP="00B75717">
      <w:pPr>
        <w:pStyle w:val="MainParagraph"/>
        <w:numPr>
          <w:ilvl w:val="0"/>
          <w:numId w:val="0"/>
        </w:numPr>
        <w:ind w:right="1440"/>
      </w:pPr>
    </w:p>
    <w:p w:rsidR="00E02724" w:rsidRDefault="00E02724" w:rsidP="00B75717">
      <w:pPr>
        <w:pStyle w:val="MainParagraph"/>
        <w:numPr>
          <w:ilvl w:val="0"/>
          <w:numId w:val="0"/>
        </w:numPr>
        <w:ind w:right="1440"/>
      </w:pPr>
    </w:p>
    <w:p w:rsidR="00CB41A8" w:rsidRDefault="00B75717" w:rsidP="00B75717">
      <w:pPr>
        <w:pStyle w:val="MainParagraph"/>
        <w:numPr>
          <w:ilvl w:val="0"/>
          <w:numId w:val="0"/>
        </w:numPr>
        <w:ind w:right="1440"/>
        <w:sectPr w:rsidR="00CB41A8" w:rsidSect="006C7D6F">
          <w:headerReference w:type="default" r:id="rId15"/>
          <w:pgSz w:w="12240" w:h="15840"/>
          <w:pgMar w:top="1440" w:right="1440" w:bottom="1440" w:left="1440" w:header="708" w:footer="708" w:gutter="0"/>
          <w:cols w:space="708"/>
          <w:titlePg/>
          <w:docGrid w:linePitch="360"/>
        </w:sectPr>
      </w:pPr>
      <w:r>
        <w:t xml:space="preserve">Effective </w:t>
      </w:r>
      <w:r w:rsidR="00253ED3">
        <w:t>September 1</w:t>
      </w:r>
      <w:r w:rsidR="00FA6BAA">
        <w:t>2</w:t>
      </w:r>
      <w:bookmarkStart w:id="3" w:name="_GoBack"/>
      <w:bookmarkEnd w:id="3"/>
      <w:r w:rsidR="00253ED3">
        <w:t>, 2019</w:t>
      </w:r>
    </w:p>
    <w:p w:rsidR="001036FA" w:rsidRDefault="00B61BFF" w:rsidP="004B5927">
      <w:pPr>
        <w:tabs>
          <w:tab w:val="left" w:pos="4500"/>
        </w:tabs>
        <w:jc w:val="center"/>
        <w:rPr>
          <w:b/>
          <w:caps/>
          <w:u w:val="single"/>
        </w:rPr>
      </w:pPr>
      <w:r>
        <w:rPr>
          <w:b/>
          <w:caps/>
          <w:u w:val="single"/>
        </w:rPr>
        <w:t>A</w:t>
      </w:r>
      <w:r w:rsidR="001036FA">
        <w:rPr>
          <w:b/>
          <w:caps/>
          <w:u w:val="single"/>
        </w:rPr>
        <w:t>ppendix A</w:t>
      </w:r>
    </w:p>
    <w:p w:rsidR="00232BF1" w:rsidRDefault="00232BF1" w:rsidP="004B5927">
      <w:pPr>
        <w:tabs>
          <w:tab w:val="left" w:pos="4500"/>
        </w:tabs>
        <w:jc w:val="center"/>
        <w:rPr>
          <w:b/>
          <w:caps/>
          <w:u w:val="single"/>
        </w:rPr>
      </w:pPr>
    </w:p>
    <w:p w:rsidR="001036FA" w:rsidRDefault="001036FA" w:rsidP="0036789A">
      <w:pPr>
        <w:jc w:val="center"/>
        <w:rPr>
          <w:b/>
          <w:caps/>
          <w:u w:val="single"/>
        </w:rPr>
      </w:pPr>
      <w:r>
        <w:rPr>
          <w:b/>
          <w:caps/>
          <w:u w:val="single"/>
        </w:rPr>
        <w:t>Certificate of financial disclosure</w:t>
      </w:r>
    </w:p>
    <w:p w:rsidR="001036FA" w:rsidRDefault="001036FA" w:rsidP="0036789A">
      <w:pPr>
        <w:jc w:val="center"/>
        <w:rPr>
          <w:b/>
          <w:caps/>
          <w:u w:val="single"/>
        </w:rPr>
      </w:pPr>
    </w:p>
    <w:p w:rsidR="001036FA" w:rsidRDefault="001036FA" w:rsidP="0036789A">
      <w:pPr>
        <w:jc w:val="center"/>
        <w:rPr>
          <w:b/>
          <w:caps/>
          <w:u w:val="single"/>
        </w:rPr>
      </w:pPr>
    </w:p>
    <w:p w:rsidR="001036FA" w:rsidRDefault="001036FA" w:rsidP="003D5568">
      <w:pPr>
        <w:pStyle w:val="MainParagraph"/>
        <w:numPr>
          <w:ilvl w:val="0"/>
          <w:numId w:val="3"/>
        </w:numPr>
        <w:spacing w:line="360" w:lineRule="auto"/>
        <w:ind w:hanging="720"/>
      </w:pPr>
      <w:r>
        <w:t>Depending on whether a claim for support and/or a claim to property is being made each party must serve what is known as a Certificate of Financial Disclosure on the other party no later than 30 days after the date on which their Financial Statement must be served. The information listed in the Certificate must include the following,</w:t>
      </w:r>
    </w:p>
    <w:p w:rsidR="001036FA" w:rsidRDefault="00FA6BAA" w:rsidP="003D5568">
      <w:pPr>
        <w:pStyle w:val="MainParagraph"/>
        <w:numPr>
          <w:ilvl w:val="0"/>
          <w:numId w:val="0"/>
        </w:numPr>
        <w:spacing w:after="120"/>
        <w:ind w:left="1418" w:right="1440"/>
        <w:rPr>
          <w:lang w:val="en"/>
        </w:rPr>
      </w:pPr>
      <w:hyperlink r:id="rId16" w:anchor="s13s3p3" w:history="1">
        <w:r w:rsidR="001036FA" w:rsidRPr="007D128F">
          <w:rPr>
            <w:rStyle w:val="Hyperlink"/>
            <w:rFonts w:cs="Helvetica"/>
            <w:color w:val="auto"/>
            <w:lang w:val="en-US"/>
          </w:rPr>
          <w:t>(3.3)</w:t>
        </w:r>
      </w:hyperlink>
      <w:r w:rsidR="001036FA" w:rsidRPr="00B456DB">
        <w:rPr>
          <w:lang w:val="en"/>
        </w:rPr>
        <w:t xml:space="preserve"> </w:t>
      </w:r>
      <w:r w:rsidR="001036FA">
        <w:rPr>
          <w:lang w:val="en"/>
        </w:rPr>
        <w:t xml:space="preserve">A party who is required to serve and file a financial statement in relation to a claim under Part I of the </w:t>
      </w:r>
      <w:r w:rsidR="001036FA">
        <w:rPr>
          <w:i/>
          <w:iCs/>
          <w:lang w:val="en"/>
        </w:rPr>
        <w:t>Family Law Act</w:t>
      </w:r>
      <w:r w:rsidR="001036FA">
        <w:rPr>
          <w:lang w:val="en"/>
        </w:rPr>
        <w:t xml:space="preserve"> shall, no later than 30 days after the day by which the financial statement is required to be served, serve on the other party the following information, unless the court orders otherwise:</w:t>
      </w:r>
    </w:p>
    <w:p w:rsidR="001036FA" w:rsidRDefault="001036FA" w:rsidP="003D5568">
      <w:pPr>
        <w:pStyle w:val="MainParagraph"/>
        <w:numPr>
          <w:ilvl w:val="0"/>
          <w:numId w:val="0"/>
        </w:numPr>
        <w:spacing w:after="120"/>
        <w:ind w:left="1418" w:right="1440"/>
        <w:rPr>
          <w:lang w:val="en"/>
        </w:rPr>
      </w:pPr>
      <w:r>
        <w:rPr>
          <w:lang w:val="en"/>
        </w:rPr>
        <w:t xml:space="preserve">1. The statement issued closest to the valuation date for each bank account or other account in a financial institution, pension, registered retirement </w:t>
      </w:r>
      <w:r w:rsidRPr="003D5568">
        <w:rPr>
          <w:rStyle w:val="Hyperlink"/>
          <w:rFonts w:cs="Helvetica"/>
          <w:color w:val="auto"/>
          <w:lang w:val="en-US"/>
        </w:rPr>
        <w:t>or</w:t>
      </w:r>
      <w:r>
        <w:rPr>
          <w:lang w:val="en"/>
        </w:rPr>
        <w:t xml:space="preserve"> other savings plan, and any other savings or investments in which the party had an interest on that date.</w:t>
      </w:r>
    </w:p>
    <w:p w:rsidR="001036FA" w:rsidRDefault="001036FA" w:rsidP="003D5568">
      <w:pPr>
        <w:pStyle w:val="MainParagraph"/>
        <w:numPr>
          <w:ilvl w:val="0"/>
          <w:numId w:val="0"/>
        </w:numPr>
        <w:spacing w:after="120"/>
        <w:ind w:left="1418" w:right="1440"/>
        <w:rPr>
          <w:lang w:val="en"/>
        </w:rPr>
      </w:pPr>
      <w:r>
        <w:rPr>
          <w:lang w:val="en"/>
        </w:rPr>
        <w:t xml:space="preserve">2. A copy of an </w:t>
      </w:r>
      <w:r w:rsidRPr="003D5568">
        <w:rPr>
          <w:rStyle w:val="Hyperlink"/>
          <w:rFonts w:cs="Helvetica"/>
          <w:color w:val="auto"/>
          <w:lang w:val="en-US"/>
        </w:rPr>
        <w:t>application</w:t>
      </w:r>
      <w:r>
        <w:rPr>
          <w:lang w:val="en"/>
        </w:rPr>
        <w:t xml:space="preserve"> or request made by the party to obtain a valuation of his or her own pension benefits, deferred pension or pension, as the case may be, if any, as of the valuation date.</w:t>
      </w:r>
    </w:p>
    <w:p w:rsidR="001036FA" w:rsidRDefault="001036FA" w:rsidP="003D5568">
      <w:pPr>
        <w:pStyle w:val="MainParagraph"/>
        <w:numPr>
          <w:ilvl w:val="0"/>
          <w:numId w:val="0"/>
        </w:numPr>
        <w:spacing w:after="120"/>
        <w:ind w:left="1418" w:right="1440"/>
        <w:rPr>
          <w:lang w:val="en"/>
        </w:rPr>
      </w:pPr>
      <w:r>
        <w:rPr>
          <w:lang w:val="en"/>
        </w:rPr>
        <w:t xml:space="preserve">3. A copy of the Municipal Property Assessment Corporation’s assessment of any real </w:t>
      </w:r>
      <w:r w:rsidRPr="003D5568">
        <w:rPr>
          <w:rStyle w:val="Hyperlink"/>
          <w:rFonts w:cs="Helvetica"/>
          <w:color w:val="auto"/>
          <w:lang w:val="en-US"/>
        </w:rPr>
        <w:t>property</w:t>
      </w:r>
      <w:r>
        <w:rPr>
          <w:lang w:val="en"/>
        </w:rPr>
        <w:t xml:space="preserve"> in Ontario in which the party had a right or interest on the valuation date, for the year in which that date occurred.</w:t>
      </w:r>
    </w:p>
    <w:p w:rsidR="001036FA" w:rsidRDefault="001036FA" w:rsidP="003D5568">
      <w:pPr>
        <w:pStyle w:val="MainParagraph"/>
        <w:numPr>
          <w:ilvl w:val="0"/>
          <w:numId w:val="0"/>
        </w:numPr>
        <w:spacing w:after="120"/>
        <w:ind w:left="1418" w:right="1440"/>
        <w:rPr>
          <w:lang w:val="en"/>
        </w:rPr>
      </w:pPr>
      <w:r>
        <w:rPr>
          <w:lang w:val="en"/>
        </w:rPr>
        <w:t xml:space="preserve">4. If the party owned a life insurance policy on the valuation date, the statement issued </w:t>
      </w:r>
      <w:r w:rsidRPr="003D5568">
        <w:rPr>
          <w:rStyle w:val="Hyperlink"/>
          <w:rFonts w:cs="Helvetica"/>
          <w:color w:val="auto"/>
          <w:lang w:val="en-US"/>
        </w:rPr>
        <w:t>closest</w:t>
      </w:r>
      <w:r>
        <w:rPr>
          <w:lang w:val="en"/>
        </w:rPr>
        <w:t xml:space="preserve"> to that date showing the face amount and cash surrender value, if any, of the policy, and the named beneficiary.</w:t>
      </w:r>
    </w:p>
    <w:p w:rsidR="001036FA" w:rsidRDefault="001036FA" w:rsidP="003D5568">
      <w:pPr>
        <w:pStyle w:val="MainParagraph"/>
        <w:numPr>
          <w:ilvl w:val="0"/>
          <w:numId w:val="0"/>
        </w:numPr>
        <w:spacing w:after="120"/>
        <w:ind w:left="1418" w:right="1440"/>
        <w:rPr>
          <w:lang w:val="en"/>
        </w:rPr>
      </w:pPr>
      <w:r>
        <w:rPr>
          <w:lang w:val="en"/>
        </w:rPr>
        <w:t xml:space="preserve">5. If the party had an </w:t>
      </w:r>
      <w:r w:rsidRPr="003D5568">
        <w:rPr>
          <w:lang w:val="en"/>
        </w:rPr>
        <w:t>interest</w:t>
      </w:r>
      <w:r>
        <w:rPr>
          <w:lang w:val="en"/>
        </w:rPr>
        <w:t xml:space="preserve"> in a sole proprietorship or was self-employed on the valuation date, for each of the three years preceding that date,</w:t>
      </w:r>
    </w:p>
    <w:p w:rsidR="001036FA" w:rsidRDefault="001036FA" w:rsidP="003D5568">
      <w:pPr>
        <w:pStyle w:val="MainParagraph"/>
        <w:numPr>
          <w:ilvl w:val="0"/>
          <w:numId w:val="0"/>
        </w:numPr>
        <w:spacing w:after="120"/>
        <w:ind w:left="1701" w:right="1440"/>
        <w:rPr>
          <w:lang w:val="en"/>
        </w:rPr>
      </w:pPr>
      <w:proofErr w:type="spellStart"/>
      <w:proofErr w:type="gramStart"/>
      <w:r>
        <w:rPr>
          <w:lang w:val="en"/>
        </w:rPr>
        <w:t>i</w:t>
      </w:r>
      <w:proofErr w:type="spellEnd"/>
      <w:proofErr w:type="gramEnd"/>
      <w:r>
        <w:rPr>
          <w:lang w:val="en"/>
        </w:rPr>
        <w:t>. the financial statements of the party’s business or professional practice, other than a partnership, and</w:t>
      </w:r>
    </w:p>
    <w:p w:rsidR="001036FA" w:rsidRDefault="001036FA" w:rsidP="003D5568">
      <w:pPr>
        <w:pStyle w:val="MainParagraph"/>
        <w:numPr>
          <w:ilvl w:val="0"/>
          <w:numId w:val="0"/>
        </w:numPr>
        <w:spacing w:after="120"/>
        <w:ind w:left="1701" w:right="1440"/>
        <w:rPr>
          <w:lang w:val="en"/>
        </w:rPr>
      </w:pPr>
      <w:r>
        <w:rPr>
          <w:lang w:val="en"/>
        </w:rPr>
        <w:t xml:space="preserve">ii. </w:t>
      </w:r>
      <w:proofErr w:type="gramStart"/>
      <w:r>
        <w:rPr>
          <w:lang w:val="en"/>
        </w:rPr>
        <w:t>a</w:t>
      </w:r>
      <w:proofErr w:type="gramEnd"/>
      <w:r>
        <w:rPr>
          <w:lang w:val="en"/>
        </w:rPr>
        <w:t xml:space="preserve"> copy of every personal income tax return filed by the party, including any materials that were filed with the return.</w:t>
      </w:r>
    </w:p>
    <w:p w:rsidR="002678A6" w:rsidRDefault="001036FA" w:rsidP="003D5568">
      <w:pPr>
        <w:pStyle w:val="MainParagraph"/>
        <w:numPr>
          <w:ilvl w:val="0"/>
          <w:numId w:val="0"/>
        </w:numPr>
        <w:spacing w:after="120"/>
        <w:ind w:left="1418" w:right="1440"/>
        <w:rPr>
          <w:lang w:val="en"/>
        </w:rPr>
        <w:sectPr w:rsidR="002678A6" w:rsidSect="006C7D6F">
          <w:pgSz w:w="12240" w:h="15840"/>
          <w:pgMar w:top="1440" w:right="1440" w:bottom="1440" w:left="1440" w:header="708" w:footer="708" w:gutter="0"/>
          <w:cols w:space="708"/>
          <w:titlePg/>
          <w:docGrid w:linePitch="360"/>
        </w:sectPr>
      </w:pPr>
      <w:r>
        <w:rPr>
          <w:lang w:val="en"/>
        </w:rPr>
        <w:t>6. If the party was a partner in a partnership on the valuation date, a copy of the partnership agreement and, for each of the three years preceding the valuation date,</w:t>
      </w:r>
    </w:p>
    <w:p w:rsidR="001036FA" w:rsidRDefault="001036FA" w:rsidP="003D5568">
      <w:pPr>
        <w:pStyle w:val="MainParagraph"/>
        <w:numPr>
          <w:ilvl w:val="0"/>
          <w:numId w:val="0"/>
        </w:numPr>
        <w:spacing w:after="120"/>
        <w:ind w:left="1701" w:right="1440"/>
        <w:rPr>
          <w:lang w:val="en"/>
        </w:rPr>
      </w:pPr>
      <w:proofErr w:type="spellStart"/>
      <w:r>
        <w:rPr>
          <w:lang w:val="en"/>
        </w:rPr>
        <w:t>i</w:t>
      </w:r>
      <w:proofErr w:type="spellEnd"/>
      <w:r>
        <w:rPr>
          <w:lang w:val="en"/>
        </w:rPr>
        <w:t>. a copy of every personal income tax return filed by the party, including any materials that were filed with the return, and</w:t>
      </w:r>
    </w:p>
    <w:p w:rsidR="001036FA" w:rsidRDefault="001036FA" w:rsidP="003D5568">
      <w:pPr>
        <w:pStyle w:val="MainParagraph"/>
        <w:numPr>
          <w:ilvl w:val="0"/>
          <w:numId w:val="0"/>
        </w:numPr>
        <w:ind w:left="1701" w:right="1440"/>
        <w:rPr>
          <w:lang w:val="en"/>
        </w:rPr>
      </w:pPr>
      <w:r>
        <w:rPr>
          <w:lang w:val="en"/>
        </w:rPr>
        <w:t xml:space="preserve">ii. </w:t>
      </w:r>
      <w:proofErr w:type="gramStart"/>
      <w:r>
        <w:rPr>
          <w:lang w:val="en"/>
        </w:rPr>
        <w:t>the</w:t>
      </w:r>
      <w:proofErr w:type="gramEnd"/>
      <w:r>
        <w:rPr>
          <w:lang w:val="en"/>
        </w:rPr>
        <w:t xml:space="preserve"> financial statements of the partnership.</w:t>
      </w:r>
    </w:p>
    <w:p w:rsidR="001036FA" w:rsidRDefault="001036FA" w:rsidP="003D5568">
      <w:pPr>
        <w:pStyle w:val="MainParagraph"/>
        <w:numPr>
          <w:ilvl w:val="0"/>
          <w:numId w:val="0"/>
        </w:numPr>
        <w:spacing w:after="120"/>
        <w:ind w:left="1440" w:right="1440"/>
        <w:rPr>
          <w:lang w:val="en"/>
        </w:rPr>
      </w:pPr>
      <w:r>
        <w:rPr>
          <w:lang w:val="en"/>
        </w:rPr>
        <w:t>7. If the party had an interest in a corporation on the valuation date, documentation showing the number and types of shares of the corporation and any other interests in the corporation that were owned by the party on that date.</w:t>
      </w:r>
    </w:p>
    <w:p w:rsidR="001036FA" w:rsidRDefault="001036FA" w:rsidP="003D5568">
      <w:pPr>
        <w:pStyle w:val="MainParagraph"/>
        <w:numPr>
          <w:ilvl w:val="0"/>
          <w:numId w:val="0"/>
        </w:numPr>
        <w:spacing w:after="120"/>
        <w:ind w:left="1440" w:right="1440"/>
        <w:rPr>
          <w:lang w:val="en"/>
        </w:rPr>
      </w:pPr>
      <w:r>
        <w:rPr>
          <w:lang w:val="en"/>
        </w:rPr>
        <w:t>8. If the corporation in which a party had an interest was privately held, for each of the three years preceding the valuation date,</w:t>
      </w:r>
    </w:p>
    <w:p w:rsidR="001036FA" w:rsidRDefault="001036FA" w:rsidP="003D5568">
      <w:pPr>
        <w:pStyle w:val="MainParagraph"/>
        <w:numPr>
          <w:ilvl w:val="0"/>
          <w:numId w:val="0"/>
        </w:numPr>
        <w:spacing w:after="120"/>
        <w:ind w:left="1701" w:right="1440"/>
        <w:rPr>
          <w:lang w:val="en"/>
        </w:rPr>
      </w:pPr>
      <w:proofErr w:type="spellStart"/>
      <w:proofErr w:type="gramStart"/>
      <w:r>
        <w:rPr>
          <w:lang w:val="en"/>
        </w:rPr>
        <w:t>i</w:t>
      </w:r>
      <w:proofErr w:type="spellEnd"/>
      <w:proofErr w:type="gramEnd"/>
      <w:r>
        <w:rPr>
          <w:lang w:val="en"/>
        </w:rPr>
        <w:t>. the financial statements for the corporation and its subsidiaries, and</w:t>
      </w:r>
    </w:p>
    <w:p w:rsidR="001036FA" w:rsidRDefault="001036FA" w:rsidP="003D5568">
      <w:pPr>
        <w:pStyle w:val="MainParagraph"/>
        <w:numPr>
          <w:ilvl w:val="0"/>
          <w:numId w:val="0"/>
        </w:numPr>
        <w:spacing w:after="120"/>
        <w:ind w:left="1701" w:right="1440"/>
        <w:rPr>
          <w:lang w:val="en"/>
        </w:rPr>
      </w:pPr>
      <w:r>
        <w:rPr>
          <w:lang w:val="en"/>
        </w:rPr>
        <w:t xml:space="preserve">ii. </w:t>
      </w:r>
      <w:proofErr w:type="gramStart"/>
      <w:r>
        <w:rPr>
          <w:lang w:val="en"/>
        </w:rPr>
        <w:t>if</w:t>
      </w:r>
      <w:proofErr w:type="gramEnd"/>
      <w:r>
        <w:rPr>
          <w:lang w:val="en"/>
        </w:rPr>
        <w:t xml:space="preserve"> the interest was a majority interest, a copy of every income tax return filed by the corporation.</w:t>
      </w:r>
    </w:p>
    <w:p w:rsidR="001036FA" w:rsidRDefault="001036FA" w:rsidP="003D5568">
      <w:pPr>
        <w:pStyle w:val="MainParagraph"/>
        <w:numPr>
          <w:ilvl w:val="0"/>
          <w:numId w:val="0"/>
        </w:numPr>
        <w:spacing w:after="120"/>
        <w:ind w:left="1440" w:right="1440"/>
        <w:rPr>
          <w:lang w:val="en"/>
        </w:rPr>
      </w:pPr>
      <w:r>
        <w:rPr>
          <w:lang w:val="en"/>
        </w:rPr>
        <w:t>9. If the party was a beneficiary under a trust on the valuation date, a copy of the trust settlement agreement and the trust’s financial statements for each of the three years preceding that date.</w:t>
      </w:r>
    </w:p>
    <w:p w:rsidR="001036FA" w:rsidRDefault="001036FA" w:rsidP="003D5568">
      <w:pPr>
        <w:pStyle w:val="MainParagraph"/>
        <w:numPr>
          <w:ilvl w:val="0"/>
          <w:numId w:val="0"/>
        </w:numPr>
        <w:spacing w:after="120"/>
        <w:ind w:left="1440" w:right="1440"/>
        <w:rPr>
          <w:lang w:val="en"/>
        </w:rPr>
      </w:pPr>
      <w:r>
        <w:rPr>
          <w:lang w:val="en"/>
        </w:rPr>
        <w:t>10. Documentation showing the value, on the valuation date, of any property not referred to in paragraphs 1 to 9 in which the party had an interest on that date.</w:t>
      </w:r>
    </w:p>
    <w:p w:rsidR="001036FA" w:rsidRDefault="001036FA" w:rsidP="003D5568">
      <w:pPr>
        <w:pStyle w:val="MainParagraph"/>
        <w:numPr>
          <w:ilvl w:val="0"/>
          <w:numId w:val="0"/>
        </w:numPr>
        <w:spacing w:after="120"/>
        <w:ind w:left="1440" w:right="1440"/>
        <w:rPr>
          <w:lang w:val="en"/>
        </w:rPr>
      </w:pPr>
      <w:r>
        <w:rPr>
          <w:lang w:val="en"/>
        </w:rPr>
        <w:t xml:space="preserve">11. Documentation that supports a claim, if any, for an exclusion under subsection 4 (2) of the </w:t>
      </w:r>
      <w:r>
        <w:rPr>
          <w:i/>
          <w:iCs/>
          <w:lang w:val="en"/>
        </w:rPr>
        <w:t>Family Law Act</w:t>
      </w:r>
      <w:r>
        <w:rPr>
          <w:lang w:val="en"/>
        </w:rPr>
        <w:t>.</w:t>
      </w:r>
    </w:p>
    <w:p w:rsidR="001036FA" w:rsidRDefault="001036FA" w:rsidP="003D5568">
      <w:pPr>
        <w:pStyle w:val="MainParagraph"/>
        <w:numPr>
          <w:ilvl w:val="0"/>
          <w:numId w:val="0"/>
        </w:numPr>
        <w:spacing w:after="120"/>
        <w:ind w:left="1440" w:right="1440"/>
        <w:rPr>
          <w:lang w:val="en"/>
        </w:rPr>
      </w:pPr>
      <w:r>
        <w:rPr>
          <w:lang w:val="en"/>
        </w:rPr>
        <w:t>12. The statements or invoices issued closest to the valuation date in relation to any mortgage, line of credit, credit card balance or other debt owed by the party on that date.</w:t>
      </w:r>
    </w:p>
    <w:p w:rsidR="001036FA" w:rsidRDefault="001036FA" w:rsidP="003D5568">
      <w:pPr>
        <w:pStyle w:val="MainParagraph"/>
        <w:numPr>
          <w:ilvl w:val="0"/>
          <w:numId w:val="0"/>
        </w:numPr>
        <w:ind w:left="1440" w:right="1440"/>
        <w:rPr>
          <w:lang w:val="en"/>
        </w:rPr>
      </w:pPr>
      <w:r>
        <w:rPr>
          <w:lang w:val="en"/>
        </w:rPr>
        <w:t xml:space="preserve">13. Any available documentation showing the value, on the date of marriage, of property that the party owned or in which he or she had an interest on that date, and the amount of any debts owed by the party on that date. </w:t>
      </w:r>
    </w:p>
    <w:p w:rsidR="003A4903" w:rsidRDefault="003A4903" w:rsidP="003D5568">
      <w:pPr>
        <w:pStyle w:val="MainParagraph"/>
        <w:numPr>
          <w:ilvl w:val="0"/>
          <w:numId w:val="3"/>
        </w:numPr>
        <w:spacing w:line="360" w:lineRule="auto"/>
        <w:ind w:hanging="720"/>
      </w:pPr>
      <w:r>
        <w:t>There are different Rules for serving the required document</w:t>
      </w:r>
      <w:r w:rsidR="00F00E6F">
        <w:t xml:space="preserve">s and filing the Certificate of Financial Disclosure. </w:t>
      </w:r>
    </w:p>
    <w:p w:rsidR="002678A6" w:rsidRDefault="00F73886" w:rsidP="003D5568">
      <w:pPr>
        <w:pStyle w:val="MainParagraph"/>
        <w:numPr>
          <w:ilvl w:val="0"/>
          <w:numId w:val="3"/>
        </w:numPr>
        <w:spacing w:line="360" w:lineRule="auto"/>
        <w:ind w:hanging="720"/>
      </w:pPr>
      <w:r>
        <w:t>Rule 13 (5.0.2) requires a party who is required to serve these do</w:t>
      </w:r>
      <w:r w:rsidR="00F00E6F">
        <w:t xml:space="preserve">cuments to serve them with the Certificate and to afterwards file </w:t>
      </w:r>
      <w:r w:rsidR="006E7F10">
        <w:t>the Certificate in the Continuing Record just before the case conference</w:t>
      </w:r>
      <w:r w:rsidR="00F00E6F">
        <w:t>,</w:t>
      </w:r>
      <w:r w:rsidR="006E7F10">
        <w:t xml:space="preserve"> or a motion,</w:t>
      </w:r>
    </w:p>
    <w:p w:rsidR="003D5568" w:rsidRDefault="003D5568" w:rsidP="003D5568">
      <w:pPr>
        <w:pStyle w:val="MainParagraph"/>
        <w:numPr>
          <w:ilvl w:val="0"/>
          <w:numId w:val="0"/>
        </w:numPr>
        <w:ind w:left="630" w:hanging="360"/>
      </w:pPr>
    </w:p>
    <w:p w:rsidR="003D5568" w:rsidRDefault="003D5568" w:rsidP="003D5568">
      <w:pPr>
        <w:pStyle w:val="MainParagraph"/>
        <w:numPr>
          <w:ilvl w:val="0"/>
          <w:numId w:val="0"/>
        </w:numPr>
        <w:ind w:left="630" w:hanging="360"/>
        <w:sectPr w:rsidR="003D5568" w:rsidSect="006C7D6F">
          <w:pgSz w:w="12240" w:h="15840"/>
          <w:pgMar w:top="1440" w:right="1440" w:bottom="1440" w:left="1440" w:header="708" w:footer="708" w:gutter="0"/>
          <w:cols w:space="708"/>
          <w:titlePg/>
          <w:docGrid w:linePitch="360"/>
        </w:sectPr>
      </w:pPr>
    </w:p>
    <w:p w:rsidR="00F73886" w:rsidRPr="00C91C1E" w:rsidRDefault="00FA6BAA" w:rsidP="003D5568">
      <w:pPr>
        <w:pStyle w:val="MainParagraph"/>
        <w:numPr>
          <w:ilvl w:val="0"/>
          <w:numId w:val="0"/>
        </w:numPr>
        <w:spacing w:after="120"/>
        <w:ind w:left="1418" w:right="1423"/>
        <w:rPr>
          <w:lang w:val="en"/>
        </w:rPr>
      </w:pPr>
      <w:hyperlink r:id="rId17" w:anchor="s13s5p0p2" w:history="1">
        <w:r w:rsidR="00F73886" w:rsidRPr="00C91C1E">
          <w:rPr>
            <w:rStyle w:val="Hyperlink"/>
            <w:rFonts w:eastAsiaTheme="majorEastAsia"/>
            <w:color w:val="auto"/>
            <w:lang w:val="en-US"/>
          </w:rPr>
          <w:t>(5.0.2)</w:t>
        </w:r>
      </w:hyperlink>
      <w:r w:rsidR="00F73886" w:rsidRPr="00C91C1E">
        <w:rPr>
          <w:lang w:val="en"/>
        </w:rPr>
        <w:t xml:space="preserve"> </w:t>
      </w:r>
      <w:proofErr w:type="gramStart"/>
      <w:r w:rsidR="00F73886" w:rsidRPr="00C91C1E">
        <w:rPr>
          <w:lang w:val="en"/>
        </w:rPr>
        <w:t>A</w:t>
      </w:r>
      <w:proofErr w:type="gramEnd"/>
      <w:r w:rsidR="00F73886" w:rsidRPr="00C91C1E">
        <w:rPr>
          <w:lang w:val="en"/>
        </w:rPr>
        <w:t xml:space="preserve"> party who is required to serve documents under </w:t>
      </w:r>
      <w:proofErr w:type="spellStart"/>
      <w:r w:rsidR="00F73886" w:rsidRPr="00C91C1E">
        <w:rPr>
          <w:lang w:val="en"/>
        </w:rPr>
        <w:t>subrule</w:t>
      </w:r>
      <w:proofErr w:type="spellEnd"/>
      <w:r w:rsidR="00F73886" w:rsidRPr="00C91C1E">
        <w:rPr>
          <w:lang w:val="en"/>
        </w:rPr>
        <w:t xml:space="preserve"> (3.1), (3.3), (3.4) or (5.0.1) shall confirm service by,</w:t>
      </w:r>
    </w:p>
    <w:p w:rsidR="00F73886" w:rsidRPr="00C91C1E" w:rsidRDefault="00F73886" w:rsidP="003D5568">
      <w:pPr>
        <w:pStyle w:val="MainParagraph"/>
        <w:numPr>
          <w:ilvl w:val="0"/>
          <w:numId w:val="0"/>
        </w:numPr>
        <w:spacing w:after="120"/>
        <w:ind w:left="1418" w:right="1423"/>
        <w:rPr>
          <w:lang w:val="en"/>
        </w:rPr>
      </w:pPr>
      <w:r w:rsidRPr="00C91C1E">
        <w:rPr>
          <w:lang w:val="en"/>
        </w:rPr>
        <w:t xml:space="preserve">(a) </w:t>
      </w:r>
      <w:proofErr w:type="gramStart"/>
      <w:r w:rsidRPr="00232BF1">
        <w:rPr>
          <w:b/>
          <w:lang w:val="en"/>
        </w:rPr>
        <w:t>serving</w:t>
      </w:r>
      <w:proofErr w:type="gramEnd"/>
      <w:r w:rsidRPr="00232BF1">
        <w:rPr>
          <w:b/>
          <w:lang w:val="en"/>
        </w:rPr>
        <w:t xml:space="preserve"> a certificate of financial disclosure</w:t>
      </w:r>
      <w:r w:rsidRPr="00C91C1E">
        <w:rPr>
          <w:lang w:val="en"/>
        </w:rPr>
        <w:t xml:space="preserve"> (Form 13A) together </w:t>
      </w:r>
      <w:r w:rsidRPr="00232BF1">
        <w:rPr>
          <w:b/>
          <w:lang w:val="en"/>
        </w:rPr>
        <w:t>with the documents</w:t>
      </w:r>
      <w:r w:rsidRPr="00C91C1E">
        <w:rPr>
          <w:lang w:val="en"/>
        </w:rPr>
        <w:t>; and</w:t>
      </w:r>
    </w:p>
    <w:p w:rsidR="00F73886" w:rsidRPr="00C91C1E" w:rsidRDefault="00F73886" w:rsidP="003D5568">
      <w:pPr>
        <w:pStyle w:val="MainParagraph"/>
        <w:numPr>
          <w:ilvl w:val="0"/>
          <w:numId w:val="0"/>
        </w:numPr>
        <w:spacing w:after="120"/>
        <w:ind w:left="1418" w:right="1423"/>
        <w:rPr>
          <w:lang w:val="en"/>
        </w:rPr>
      </w:pPr>
      <w:r w:rsidRPr="00C91C1E">
        <w:rPr>
          <w:lang w:val="en"/>
        </w:rPr>
        <w:t xml:space="preserve">(b) </w:t>
      </w:r>
      <w:proofErr w:type="gramStart"/>
      <w:r w:rsidRPr="006E7F10">
        <w:rPr>
          <w:b/>
          <w:lang w:val="en"/>
        </w:rPr>
        <w:t>filing</w:t>
      </w:r>
      <w:proofErr w:type="gramEnd"/>
      <w:r w:rsidRPr="006E7F10">
        <w:rPr>
          <w:b/>
          <w:lang w:val="en"/>
        </w:rPr>
        <w:t xml:space="preserve"> the certificate</w:t>
      </w:r>
      <w:r w:rsidRPr="00C91C1E">
        <w:rPr>
          <w:lang w:val="en"/>
        </w:rPr>
        <w:t xml:space="preserve"> no later than,</w:t>
      </w:r>
    </w:p>
    <w:p w:rsidR="00F73886" w:rsidRPr="00C91C1E" w:rsidRDefault="00F73886" w:rsidP="003D5568">
      <w:pPr>
        <w:pStyle w:val="MainParagraph"/>
        <w:numPr>
          <w:ilvl w:val="0"/>
          <w:numId w:val="0"/>
        </w:numPr>
        <w:spacing w:after="120"/>
        <w:ind w:left="1418" w:right="1423"/>
        <w:rPr>
          <w:lang w:val="en"/>
        </w:rPr>
      </w:pPr>
      <w:r w:rsidRPr="00C91C1E">
        <w:rPr>
          <w:lang w:val="en"/>
        </w:rPr>
        <w:t>(</w:t>
      </w:r>
      <w:proofErr w:type="spellStart"/>
      <w:r w:rsidRPr="00C91C1E">
        <w:rPr>
          <w:lang w:val="en"/>
        </w:rPr>
        <w:t>i</w:t>
      </w:r>
      <w:proofErr w:type="spellEnd"/>
      <w:r w:rsidRPr="00C91C1E">
        <w:rPr>
          <w:lang w:val="en"/>
        </w:rPr>
        <w:t>) seven days before a case conference, in the case of the applicant or the party making the motion, as the case may be, and</w:t>
      </w:r>
    </w:p>
    <w:p w:rsidR="00F73886" w:rsidRDefault="00F73886" w:rsidP="003D5568">
      <w:pPr>
        <w:pStyle w:val="MainParagraph"/>
        <w:numPr>
          <w:ilvl w:val="0"/>
          <w:numId w:val="0"/>
        </w:numPr>
        <w:ind w:left="1418" w:right="1422"/>
        <w:rPr>
          <w:lang w:val="en"/>
        </w:rPr>
      </w:pPr>
      <w:r w:rsidRPr="00C91C1E">
        <w:rPr>
          <w:lang w:val="en"/>
        </w:rPr>
        <w:t xml:space="preserve">(ii) four days before the case conference, in the case of the other party. </w:t>
      </w:r>
    </w:p>
    <w:p w:rsidR="00232BF1" w:rsidRDefault="006E7F10" w:rsidP="003D5568">
      <w:pPr>
        <w:pStyle w:val="MainParagraph"/>
        <w:numPr>
          <w:ilvl w:val="0"/>
          <w:numId w:val="3"/>
        </w:numPr>
        <w:spacing w:line="360" w:lineRule="auto"/>
        <w:ind w:hanging="720"/>
      </w:pPr>
      <w:r>
        <w:t>The documents served with the Certificate are NOT to be filed with the court, only t</w:t>
      </w:r>
      <w:r w:rsidR="00232BF1">
        <w:t>he Cer</w:t>
      </w:r>
      <w:r>
        <w:t>t</w:t>
      </w:r>
      <w:r w:rsidR="00AC10C9">
        <w:t>i</w:t>
      </w:r>
      <w:r>
        <w:t>ficate is filed.</w:t>
      </w:r>
    </w:p>
    <w:p w:rsidR="006E7F10" w:rsidRPr="006E7F10" w:rsidRDefault="006E7F10" w:rsidP="003D5568">
      <w:pPr>
        <w:pStyle w:val="MainParagraph"/>
        <w:numPr>
          <w:ilvl w:val="0"/>
          <w:numId w:val="3"/>
        </w:numPr>
        <w:spacing w:line="360" w:lineRule="auto"/>
        <w:ind w:hanging="720"/>
      </w:pPr>
      <w:r>
        <w:t xml:space="preserve">There is no need to file another Certificate in the case unless there are new or additional documents disclosed or corrections are needed. In that situation, an updated Certificate must be served (with the documents, or corrections, noted) and that Certificate </w:t>
      </w:r>
      <w:r w:rsidR="00232BF1">
        <w:t xml:space="preserve">then </w:t>
      </w:r>
      <w:r>
        <w:t>filed in the Continuing Record before the next conference,</w:t>
      </w:r>
    </w:p>
    <w:p w:rsidR="00F73886" w:rsidRPr="00C91C1E" w:rsidRDefault="00FA6BAA" w:rsidP="003D5568">
      <w:pPr>
        <w:pStyle w:val="MainParagraph"/>
        <w:numPr>
          <w:ilvl w:val="0"/>
          <w:numId w:val="0"/>
        </w:numPr>
        <w:spacing w:after="120"/>
        <w:ind w:left="1418" w:right="1422"/>
        <w:rPr>
          <w:rStyle w:val="Hyperlink"/>
          <w:rFonts w:eastAsiaTheme="majorEastAsia"/>
          <w:color w:val="auto"/>
          <w:lang w:val="en-US"/>
        </w:rPr>
      </w:pPr>
      <w:hyperlink r:id="rId18" w:anchor="s13s13p1" w:history="1">
        <w:r w:rsidR="00F73886" w:rsidRPr="00F00E6F">
          <w:t>(13.1)</w:t>
        </w:r>
      </w:hyperlink>
      <w:r w:rsidR="00F73886" w:rsidRPr="00F00E6F">
        <w:t xml:space="preserve"> Before any settlement conference or trial management conference, a party</w:t>
      </w:r>
      <w:r w:rsidR="00F73886" w:rsidRPr="00C91C1E">
        <w:rPr>
          <w:rStyle w:val="Hyperlink"/>
          <w:rFonts w:eastAsiaTheme="majorEastAsia"/>
          <w:color w:val="auto"/>
          <w:lang w:val="en-US"/>
        </w:rPr>
        <w:t xml:space="preserve"> </w:t>
      </w:r>
      <w:r w:rsidR="00F73886" w:rsidRPr="00F00E6F">
        <w:t>who has served a corrected, updated or new version of a document referred to in</w:t>
      </w:r>
      <w:r w:rsidR="00F73886" w:rsidRPr="00C91C1E">
        <w:rPr>
          <w:rStyle w:val="Hyperlink"/>
          <w:rFonts w:eastAsiaTheme="majorEastAsia"/>
          <w:color w:val="auto"/>
          <w:lang w:val="en-US"/>
        </w:rPr>
        <w:t xml:space="preserve"> </w:t>
      </w:r>
      <w:proofErr w:type="spellStart"/>
      <w:r w:rsidR="00F73886" w:rsidRPr="00C91C1E">
        <w:rPr>
          <w:rStyle w:val="Hyperlink"/>
          <w:rFonts w:eastAsiaTheme="majorEastAsia"/>
          <w:color w:val="auto"/>
          <w:lang w:val="en-US"/>
        </w:rPr>
        <w:t>subrule</w:t>
      </w:r>
      <w:proofErr w:type="spellEnd"/>
      <w:r w:rsidR="00F73886" w:rsidRPr="00C91C1E">
        <w:rPr>
          <w:rStyle w:val="Hyperlink"/>
          <w:rFonts w:eastAsiaTheme="majorEastAsia"/>
          <w:color w:val="auto"/>
          <w:lang w:val="en-US"/>
        </w:rPr>
        <w:t xml:space="preserve"> (3.1), (3.3), (3.4) or (5.0.1) in accordance with </w:t>
      </w:r>
      <w:proofErr w:type="spellStart"/>
      <w:r w:rsidR="00F73886" w:rsidRPr="00C91C1E">
        <w:rPr>
          <w:rStyle w:val="Hyperlink"/>
          <w:rFonts w:eastAsiaTheme="majorEastAsia"/>
          <w:color w:val="auto"/>
          <w:lang w:val="en-US"/>
        </w:rPr>
        <w:t>subrule</w:t>
      </w:r>
      <w:proofErr w:type="spellEnd"/>
      <w:r w:rsidR="00F73886" w:rsidRPr="00C91C1E">
        <w:rPr>
          <w:rStyle w:val="Hyperlink"/>
          <w:rFonts w:eastAsiaTheme="majorEastAsia"/>
          <w:color w:val="auto"/>
          <w:lang w:val="en-US"/>
        </w:rPr>
        <w:t xml:space="preserve"> (15), or additional documents in accordance with </w:t>
      </w:r>
      <w:proofErr w:type="spellStart"/>
      <w:r w:rsidR="00F73886" w:rsidRPr="00C91C1E">
        <w:rPr>
          <w:rStyle w:val="Hyperlink"/>
          <w:rFonts w:eastAsiaTheme="majorEastAsia"/>
          <w:color w:val="auto"/>
          <w:lang w:val="en-US"/>
        </w:rPr>
        <w:t>subrule</w:t>
      </w:r>
      <w:proofErr w:type="spellEnd"/>
      <w:r w:rsidR="00F73886" w:rsidRPr="00C91C1E">
        <w:rPr>
          <w:rStyle w:val="Hyperlink"/>
          <w:rFonts w:eastAsiaTheme="majorEastAsia"/>
          <w:color w:val="auto"/>
          <w:lang w:val="en-US"/>
        </w:rPr>
        <w:t xml:space="preserve"> (16), shall serve and file an updated certificate of financial disclosure (Form 13A), no later than,</w:t>
      </w:r>
    </w:p>
    <w:p w:rsidR="00F73886" w:rsidRPr="00C91C1E" w:rsidRDefault="00F73886" w:rsidP="003D5568">
      <w:pPr>
        <w:spacing w:after="120"/>
        <w:ind w:left="1418" w:right="1422"/>
        <w:jc w:val="both"/>
        <w:rPr>
          <w:rFonts w:ascii="inherit" w:hAnsi="inherit" w:cs="Helvetica"/>
          <w:color w:val="222222"/>
          <w:lang w:val="en"/>
        </w:rPr>
      </w:pPr>
      <w:r w:rsidRPr="00C91C1E">
        <w:rPr>
          <w:rFonts w:ascii="inherit" w:hAnsi="inherit" w:cs="Helvetica"/>
          <w:color w:val="222222"/>
          <w:lang w:val="en"/>
        </w:rPr>
        <w:t>(a) seven days before the conference, in the case of the party requesting the conference or, if the conference is not requested by a party, the applicant or the party making the motion, as the case may be; and</w:t>
      </w:r>
    </w:p>
    <w:p w:rsidR="00F73886" w:rsidRPr="00C91C1E" w:rsidRDefault="00F73886" w:rsidP="003D5568">
      <w:pPr>
        <w:spacing w:after="240"/>
        <w:ind w:left="1418" w:right="1422"/>
        <w:jc w:val="both"/>
        <w:rPr>
          <w:rFonts w:ascii="inherit" w:hAnsi="inherit" w:cs="Helvetica"/>
          <w:color w:val="222222"/>
          <w:lang w:val="en"/>
        </w:rPr>
      </w:pPr>
      <w:r w:rsidRPr="00C91C1E">
        <w:rPr>
          <w:rFonts w:ascii="inherit" w:hAnsi="inherit" w:cs="Helvetica"/>
          <w:color w:val="222222"/>
          <w:lang w:val="en"/>
        </w:rPr>
        <w:t xml:space="preserve">(b) four days before the conference, in the case of the other party. </w:t>
      </w:r>
    </w:p>
    <w:p w:rsidR="002678A6" w:rsidRDefault="00FA6BAA" w:rsidP="003D5568">
      <w:pPr>
        <w:pStyle w:val="MainParagraph"/>
        <w:numPr>
          <w:ilvl w:val="0"/>
          <w:numId w:val="0"/>
        </w:numPr>
        <w:ind w:left="1440" w:right="1422"/>
        <w:rPr>
          <w:rFonts w:cs="Helvetica"/>
          <w:color w:val="222222"/>
          <w:lang w:val="en"/>
        </w:rPr>
        <w:sectPr w:rsidR="002678A6" w:rsidSect="006C7D6F">
          <w:pgSz w:w="12240" w:h="15840"/>
          <w:pgMar w:top="1440" w:right="1440" w:bottom="1440" w:left="1440" w:header="708" w:footer="708" w:gutter="0"/>
          <w:cols w:space="708"/>
          <w:titlePg/>
          <w:docGrid w:linePitch="360"/>
        </w:sectPr>
      </w:pPr>
      <w:hyperlink r:id="rId19" w:anchor="s13s16" w:history="1">
        <w:r w:rsidR="00F73886" w:rsidRPr="00C91C1E">
          <w:rPr>
            <w:rFonts w:cs="Helvetica"/>
            <w:lang w:val="en-US"/>
          </w:rPr>
          <w:t>(16)</w:t>
        </w:r>
      </w:hyperlink>
      <w:r w:rsidR="00F73886" w:rsidRPr="00C91C1E">
        <w:rPr>
          <w:rFonts w:cs="Helvetica"/>
          <w:color w:val="222222"/>
          <w:lang w:val="en"/>
        </w:rPr>
        <w:t xml:space="preserve"> As soon as a party discovers that he or she failed to serve a document required to be served under </w:t>
      </w:r>
      <w:proofErr w:type="spellStart"/>
      <w:r w:rsidR="00F73886" w:rsidRPr="00C91C1E">
        <w:rPr>
          <w:rFonts w:cs="Helvetica"/>
          <w:color w:val="222222"/>
          <w:lang w:val="en"/>
        </w:rPr>
        <w:t>subrule</w:t>
      </w:r>
      <w:proofErr w:type="spellEnd"/>
      <w:r w:rsidR="00F73886" w:rsidRPr="00C91C1E">
        <w:rPr>
          <w:rFonts w:cs="Helvetica"/>
          <w:color w:val="222222"/>
          <w:lang w:val="en"/>
        </w:rPr>
        <w:t xml:space="preserve"> (3.1), (3.3), </w:t>
      </w:r>
      <w:proofErr w:type="gramStart"/>
      <w:r w:rsidR="00F73886" w:rsidRPr="00C91C1E">
        <w:rPr>
          <w:rFonts w:cs="Helvetica"/>
          <w:color w:val="222222"/>
          <w:lang w:val="en"/>
        </w:rPr>
        <w:t>(</w:t>
      </w:r>
      <w:proofErr w:type="gramEnd"/>
      <w:r w:rsidR="00F73886" w:rsidRPr="00C91C1E">
        <w:rPr>
          <w:rFonts w:cs="Helvetica"/>
          <w:color w:val="222222"/>
          <w:lang w:val="en"/>
        </w:rPr>
        <w:t>3.4) or (5.0.1), the party shall serve the document on the other party.</w:t>
      </w:r>
    </w:p>
    <w:p w:rsidR="0036789A" w:rsidRDefault="00EC0B26" w:rsidP="007C68C5">
      <w:pPr>
        <w:jc w:val="center"/>
        <w:rPr>
          <w:b/>
          <w:caps/>
          <w:u w:val="single"/>
        </w:rPr>
      </w:pPr>
      <w:r>
        <w:rPr>
          <w:b/>
          <w:caps/>
          <w:u w:val="single"/>
        </w:rPr>
        <w:t>A</w:t>
      </w:r>
      <w:r w:rsidR="0036789A">
        <w:rPr>
          <w:b/>
          <w:caps/>
          <w:u w:val="single"/>
        </w:rPr>
        <w:t xml:space="preserve">PPENDIX </w:t>
      </w:r>
      <w:r w:rsidR="001036FA">
        <w:rPr>
          <w:b/>
          <w:caps/>
          <w:u w:val="single"/>
        </w:rPr>
        <w:t>B</w:t>
      </w:r>
    </w:p>
    <w:p w:rsidR="007C68C5" w:rsidRDefault="007C68C5" w:rsidP="007C68C5">
      <w:pPr>
        <w:jc w:val="center"/>
        <w:rPr>
          <w:b/>
          <w:caps/>
          <w:u w:val="single"/>
        </w:rPr>
      </w:pPr>
    </w:p>
    <w:p w:rsidR="007C68C5" w:rsidRDefault="007C68C5" w:rsidP="007C68C5">
      <w:pPr>
        <w:jc w:val="center"/>
        <w:rPr>
          <w:b/>
          <w:caps/>
          <w:u w:val="single"/>
        </w:rPr>
      </w:pPr>
      <w:r>
        <w:rPr>
          <w:b/>
          <w:caps/>
          <w:u w:val="single"/>
        </w:rPr>
        <w:t>Service and Filing deadlines</w:t>
      </w:r>
    </w:p>
    <w:p w:rsidR="0036789A" w:rsidRDefault="0036789A" w:rsidP="0036789A">
      <w:pPr>
        <w:rPr>
          <w:b/>
          <w:caps/>
        </w:rPr>
      </w:pPr>
    </w:p>
    <w:p w:rsidR="0036789A" w:rsidRDefault="0036789A" w:rsidP="0036789A">
      <w:pPr>
        <w:rPr>
          <w:b/>
          <w:caps/>
        </w:rPr>
      </w:pPr>
    </w:p>
    <w:tbl>
      <w:tblPr>
        <w:tblStyle w:val="TableGrid"/>
        <w:tblW w:w="0" w:type="auto"/>
        <w:tblLook w:val="04A0" w:firstRow="1" w:lastRow="0" w:firstColumn="1" w:lastColumn="0" w:noHBand="0" w:noVBand="1"/>
      </w:tblPr>
      <w:tblGrid>
        <w:gridCol w:w="4294"/>
        <w:gridCol w:w="1230"/>
        <w:gridCol w:w="2299"/>
        <w:gridCol w:w="1527"/>
      </w:tblGrid>
      <w:tr w:rsidR="0036789A" w:rsidTr="007C68C5">
        <w:tc>
          <w:tcPr>
            <w:tcW w:w="4294" w:type="dxa"/>
            <w:vAlign w:val="center"/>
          </w:tcPr>
          <w:p w:rsidR="0036789A" w:rsidRPr="000630EE" w:rsidRDefault="0036789A" w:rsidP="007C68C5">
            <w:pPr>
              <w:jc w:val="center"/>
              <w:rPr>
                <w:b/>
              </w:rPr>
            </w:pPr>
            <w:r>
              <w:rPr>
                <w:b/>
              </w:rPr>
              <w:t>Name of Document</w:t>
            </w:r>
          </w:p>
        </w:tc>
        <w:tc>
          <w:tcPr>
            <w:tcW w:w="1230" w:type="dxa"/>
            <w:vAlign w:val="center"/>
          </w:tcPr>
          <w:p w:rsidR="0036789A" w:rsidRPr="000630EE" w:rsidRDefault="0036789A" w:rsidP="007C68C5">
            <w:pPr>
              <w:jc w:val="center"/>
              <w:rPr>
                <w:b/>
              </w:rPr>
            </w:pPr>
            <w:r w:rsidRPr="000630EE">
              <w:rPr>
                <w:b/>
              </w:rPr>
              <w:t>Form</w:t>
            </w:r>
          </w:p>
        </w:tc>
        <w:tc>
          <w:tcPr>
            <w:tcW w:w="2299" w:type="dxa"/>
            <w:vAlign w:val="center"/>
          </w:tcPr>
          <w:p w:rsidR="0036789A" w:rsidRPr="000630EE" w:rsidRDefault="00F13082" w:rsidP="007C68C5">
            <w:pPr>
              <w:jc w:val="center"/>
              <w:rPr>
                <w:b/>
              </w:rPr>
            </w:pPr>
            <w:r>
              <w:rPr>
                <w:b/>
              </w:rPr>
              <w:t xml:space="preserve">Service </w:t>
            </w:r>
            <w:r w:rsidR="0036789A" w:rsidRPr="000630EE">
              <w:rPr>
                <w:b/>
              </w:rPr>
              <w:t>Deadline</w:t>
            </w:r>
            <w:r w:rsidR="0036789A">
              <w:rPr>
                <w:b/>
              </w:rPr>
              <w:t xml:space="preserve"> (not later than)</w:t>
            </w:r>
          </w:p>
        </w:tc>
        <w:tc>
          <w:tcPr>
            <w:tcW w:w="1527" w:type="dxa"/>
            <w:vAlign w:val="center"/>
          </w:tcPr>
          <w:p w:rsidR="0036789A" w:rsidRPr="000630EE" w:rsidRDefault="0036789A" w:rsidP="007C68C5">
            <w:pPr>
              <w:jc w:val="center"/>
              <w:rPr>
                <w:b/>
              </w:rPr>
            </w:pPr>
            <w:r>
              <w:rPr>
                <w:b/>
              </w:rPr>
              <w:t>R</w:t>
            </w:r>
            <w:r w:rsidRPr="000630EE">
              <w:rPr>
                <w:b/>
              </w:rPr>
              <w:t>ule</w:t>
            </w:r>
          </w:p>
        </w:tc>
      </w:tr>
      <w:tr w:rsidR="0036789A" w:rsidTr="007C68C5">
        <w:tc>
          <w:tcPr>
            <w:tcW w:w="4294" w:type="dxa"/>
            <w:vAlign w:val="center"/>
          </w:tcPr>
          <w:p w:rsidR="0036789A" w:rsidRPr="000630EE" w:rsidRDefault="0036789A" w:rsidP="007C68C5">
            <w:r>
              <w:t>Certificate of Financial Disclosure</w:t>
            </w:r>
          </w:p>
        </w:tc>
        <w:tc>
          <w:tcPr>
            <w:tcW w:w="1230" w:type="dxa"/>
            <w:vAlign w:val="center"/>
          </w:tcPr>
          <w:p w:rsidR="0036789A" w:rsidRPr="000630EE" w:rsidRDefault="0036789A" w:rsidP="007C68C5">
            <w:pPr>
              <w:jc w:val="center"/>
            </w:pPr>
            <w:r>
              <w:t>13A</w:t>
            </w:r>
          </w:p>
        </w:tc>
        <w:tc>
          <w:tcPr>
            <w:tcW w:w="2299" w:type="dxa"/>
            <w:vAlign w:val="center"/>
          </w:tcPr>
          <w:p w:rsidR="0036789A" w:rsidRPr="000630EE" w:rsidRDefault="0036789A" w:rsidP="007C68C5">
            <w:r>
              <w:t>7 days before the conference (4 days for the other side)</w:t>
            </w:r>
          </w:p>
        </w:tc>
        <w:tc>
          <w:tcPr>
            <w:tcW w:w="1527" w:type="dxa"/>
            <w:vAlign w:val="center"/>
          </w:tcPr>
          <w:p w:rsidR="0036789A" w:rsidRPr="000630EE" w:rsidRDefault="0036789A" w:rsidP="007C68C5">
            <w:r>
              <w:t>13(5.0.2) (a) and (b)</w:t>
            </w:r>
          </w:p>
        </w:tc>
      </w:tr>
      <w:tr w:rsidR="0036789A" w:rsidTr="007C68C5">
        <w:tc>
          <w:tcPr>
            <w:tcW w:w="4294" w:type="dxa"/>
            <w:vAlign w:val="center"/>
          </w:tcPr>
          <w:p w:rsidR="0036789A" w:rsidRPr="000630EE" w:rsidRDefault="0036789A" w:rsidP="007C68C5">
            <w:r>
              <w:t>Updated Financial Statements [or affidavit confirming financial information is the same]</w:t>
            </w:r>
          </w:p>
        </w:tc>
        <w:tc>
          <w:tcPr>
            <w:tcW w:w="1230" w:type="dxa"/>
            <w:vAlign w:val="center"/>
          </w:tcPr>
          <w:p w:rsidR="0036789A" w:rsidRPr="000630EE" w:rsidRDefault="0036789A" w:rsidP="007C68C5">
            <w:pPr>
              <w:jc w:val="center"/>
            </w:pPr>
            <w:r>
              <w:t>13 or 13.1 [14A]</w:t>
            </w:r>
          </w:p>
        </w:tc>
        <w:tc>
          <w:tcPr>
            <w:tcW w:w="2299" w:type="dxa"/>
            <w:vAlign w:val="center"/>
          </w:tcPr>
          <w:p w:rsidR="0036789A" w:rsidRPr="000630EE" w:rsidRDefault="0036789A" w:rsidP="007C68C5">
            <w:r>
              <w:t>7 days before the conference (4days for the other side)</w:t>
            </w:r>
          </w:p>
        </w:tc>
        <w:tc>
          <w:tcPr>
            <w:tcW w:w="1527" w:type="dxa"/>
            <w:vAlign w:val="center"/>
          </w:tcPr>
          <w:p w:rsidR="0036789A" w:rsidRPr="000630EE" w:rsidRDefault="0036789A" w:rsidP="007C68C5">
            <w:r>
              <w:t>13 (12.2) 1 or 2</w:t>
            </w:r>
          </w:p>
        </w:tc>
      </w:tr>
      <w:tr w:rsidR="0036789A" w:rsidTr="007C68C5">
        <w:tc>
          <w:tcPr>
            <w:tcW w:w="4294" w:type="dxa"/>
            <w:vAlign w:val="center"/>
          </w:tcPr>
          <w:p w:rsidR="0036789A" w:rsidRPr="000630EE" w:rsidRDefault="0036789A" w:rsidP="007C68C5">
            <w:r>
              <w:t>Case Conference Brief</w:t>
            </w:r>
          </w:p>
        </w:tc>
        <w:tc>
          <w:tcPr>
            <w:tcW w:w="1230" w:type="dxa"/>
            <w:vAlign w:val="center"/>
          </w:tcPr>
          <w:p w:rsidR="0036789A" w:rsidRPr="000630EE" w:rsidRDefault="0036789A" w:rsidP="007C68C5">
            <w:pPr>
              <w:jc w:val="center"/>
            </w:pPr>
            <w:r>
              <w:t>17A</w:t>
            </w:r>
          </w:p>
        </w:tc>
        <w:tc>
          <w:tcPr>
            <w:tcW w:w="2299" w:type="dxa"/>
            <w:vAlign w:val="center"/>
          </w:tcPr>
          <w:p w:rsidR="0036789A" w:rsidRDefault="0036789A" w:rsidP="007C68C5">
            <w:r>
              <w:t>7 days before the conference (4 days for the other side)</w:t>
            </w:r>
          </w:p>
        </w:tc>
        <w:tc>
          <w:tcPr>
            <w:tcW w:w="1527" w:type="dxa"/>
            <w:vAlign w:val="center"/>
          </w:tcPr>
          <w:p w:rsidR="0036789A" w:rsidRPr="000630EE" w:rsidRDefault="0036789A" w:rsidP="007C68C5">
            <w:r>
              <w:t>17(13.1)</w:t>
            </w:r>
          </w:p>
        </w:tc>
      </w:tr>
      <w:tr w:rsidR="0036789A" w:rsidTr="007C68C5">
        <w:tc>
          <w:tcPr>
            <w:tcW w:w="4294" w:type="dxa"/>
            <w:vAlign w:val="center"/>
          </w:tcPr>
          <w:p w:rsidR="0036789A" w:rsidRPr="000630EE" w:rsidRDefault="0036789A" w:rsidP="007C68C5">
            <w:r>
              <w:t>Confirmation</w:t>
            </w:r>
          </w:p>
        </w:tc>
        <w:tc>
          <w:tcPr>
            <w:tcW w:w="1230" w:type="dxa"/>
            <w:vAlign w:val="center"/>
          </w:tcPr>
          <w:p w:rsidR="0036789A" w:rsidRDefault="00AE3C32" w:rsidP="007C68C5">
            <w:pPr>
              <w:jc w:val="center"/>
            </w:pPr>
            <w:r>
              <w:t>17</w:t>
            </w:r>
            <w:r w:rsidR="0036789A">
              <w:t>C</w:t>
            </w:r>
          </w:p>
        </w:tc>
        <w:tc>
          <w:tcPr>
            <w:tcW w:w="2299" w:type="dxa"/>
            <w:vAlign w:val="center"/>
          </w:tcPr>
          <w:p w:rsidR="0036789A" w:rsidRPr="000630EE" w:rsidRDefault="0036789A" w:rsidP="007C68C5">
            <w:r>
              <w:t>2 days before the conference (both parties) by 2:00p.m.</w:t>
            </w:r>
          </w:p>
        </w:tc>
        <w:tc>
          <w:tcPr>
            <w:tcW w:w="1527" w:type="dxa"/>
            <w:vAlign w:val="center"/>
          </w:tcPr>
          <w:p w:rsidR="0036789A" w:rsidRPr="000630EE" w:rsidRDefault="0036789A" w:rsidP="007C68C5">
            <w:r>
              <w:t>17(14)</w:t>
            </w:r>
          </w:p>
        </w:tc>
      </w:tr>
    </w:tbl>
    <w:p w:rsidR="00997DD8" w:rsidRPr="0036789A" w:rsidRDefault="00FA6BAA" w:rsidP="00F61F85">
      <w:pPr>
        <w:rPr>
          <w:lang w:val="en"/>
        </w:rPr>
      </w:pPr>
    </w:p>
    <w:sectPr w:rsidR="00997DD8" w:rsidRPr="0036789A" w:rsidSect="006C7D6F">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B14" w:rsidRDefault="009E2B14" w:rsidP="00F72078">
      <w:r>
        <w:separator/>
      </w:r>
    </w:p>
  </w:endnote>
  <w:endnote w:type="continuationSeparator" w:id="0">
    <w:p w:rsidR="009E2B14" w:rsidRDefault="009E2B14"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B14" w:rsidRDefault="009E2B14" w:rsidP="00F72078">
      <w:r>
        <w:separator/>
      </w:r>
    </w:p>
  </w:footnote>
  <w:footnote w:type="continuationSeparator" w:id="0">
    <w:p w:rsidR="009E2B14" w:rsidRDefault="009E2B14" w:rsidP="00F72078">
      <w:r>
        <w:continuationSeparator/>
      </w:r>
    </w:p>
  </w:footnote>
  <w:footnote w:id="1">
    <w:p w:rsidR="00B75717" w:rsidRDefault="00B75717">
      <w:pPr>
        <w:pStyle w:val="FootnoteText"/>
      </w:pPr>
      <w:r>
        <w:rPr>
          <w:rStyle w:val="FootnoteReference"/>
        </w:rPr>
        <w:footnoteRef/>
      </w:r>
      <w:r>
        <w:t xml:space="preserve"> Rule 24 (10) provides that the court should deal with costs of each step in a case promptly</w:t>
      </w:r>
      <w:r w:rsidR="002678A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700659"/>
      <w:docPartObj>
        <w:docPartGallery w:val="Page Numbers (Top of Page)"/>
        <w:docPartUnique/>
      </w:docPartObj>
    </w:sdtPr>
    <w:sdtEndPr>
      <w:rPr>
        <w:noProof/>
      </w:rPr>
    </w:sdtEndPr>
    <w:sdtContent>
      <w:p w:rsidR="006C7D6F" w:rsidRDefault="006C7D6F">
        <w:pPr>
          <w:pStyle w:val="Header"/>
          <w:jc w:val="center"/>
        </w:pPr>
        <w:r>
          <w:fldChar w:fldCharType="begin"/>
        </w:r>
        <w:r>
          <w:instrText xml:space="preserve"> PAGE   \* MERGEFORMAT </w:instrText>
        </w:r>
        <w:r>
          <w:fldChar w:fldCharType="separate"/>
        </w:r>
        <w:r w:rsidR="00FA6BAA">
          <w:rPr>
            <w:noProof/>
          </w:rPr>
          <w:t>10</w:t>
        </w:r>
        <w:r>
          <w:rPr>
            <w:noProof/>
          </w:rPr>
          <w:fldChar w:fldCharType="end"/>
        </w:r>
      </w:p>
    </w:sdtContent>
  </w:sdt>
  <w:p w:rsidR="006C7D6F" w:rsidRDefault="006C7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B70A3"/>
    <w:multiLevelType w:val="hybridMultilevel"/>
    <w:tmpl w:val="4B1021EE"/>
    <w:lvl w:ilvl="0" w:tplc="9BC66C44">
      <w:start w:val="1"/>
      <w:numFmt w:val="decimal"/>
      <w:pStyle w:val="MainParagraph"/>
      <w:lvlText w:val="[%1]"/>
      <w:lvlJc w:val="left"/>
      <w:pPr>
        <w:ind w:left="63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Override>
  </w:num>
  <w:num w:numId="2">
    <w:abstractNumId w:val="0"/>
  </w:num>
  <w:num w:numId="3">
    <w:abstractNumId w:val="0"/>
    <w:lvlOverride w:ilvl="0">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9A"/>
    <w:rsid w:val="00040C77"/>
    <w:rsid w:val="00044707"/>
    <w:rsid w:val="0004782C"/>
    <w:rsid w:val="00063CE5"/>
    <w:rsid w:val="00077CA0"/>
    <w:rsid w:val="000A0119"/>
    <w:rsid w:val="000A5972"/>
    <w:rsid w:val="000A6ED2"/>
    <w:rsid w:val="000E6C9D"/>
    <w:rsid w:val="001036FA"/>
    <w:rsid w:val="001211F1"/>
    <w:rsid w:val="001301AB"/>
    <w:rsid w:val="00150417"/>
    <w:rsid w:val="00154503"/>
    <w:rsid w:val="00185FD7"/>
    <w:rsid w:val="0019403C"/>
    <w:rsid w:val="001B19B5"/>
    <w:rsid w:val="001C37B4"/>
    <w:rsid w:val="001F129E"/>
    <w:rsid w:val="0021731D"/>
    <w:rsid w:val="00225BE4"/>
    <w:rsid w:val="00232BF1"/>
    <w:rsid w:val="00236F4B"/>
    <w:rsid w:val="00253ED3"/>
    <w:rsid w:val="002560C4"/>
    <w:rsid w:val="002678A6"/>
    <w:rsid w:val="002E3CD3"/>
    <w:rsid w:val="002E6FF6"/>
    <w:rsid w:val="002E7272"/>
    <w:rsid w:val="002F22B0"/>
    <w:rsid w:val="002F412F"/>
    <w:rsid w:val="00317F1F"/>
    <w:rsid w:val="00333F50"/>
    <w:rsid w:val="00334F93"/>
    <w:rsid w:val="00335F8F"/>
    <w:rsid w:val="0036413B"/>
    <w:rsid w:val="0036789A"/>
    <w:rsid w:val="003A0324"/>
    <w:rsid w:val="003A4903"/>
    <w:rsid w:val="003D5568"/>
    <w:rsid w:val="003D5C78"/>
    <w:rsid w:val="00404C1A"/>
    <w:rsid w:val="00455693"/>
    <w:rsid w:val="00456289"/>
    <w:rsid w:val="00485762"/>
    <w:rsid w:val="00487378"/>
    <w:rsid w:val="004A2238"/>
    <w:rsid w:val="004A392D"/>
    <w:rsid w:val="004B347D"/>
    <w:rsid w:val="004B5927"/>
    <w:rsid w:val="004B69F7"/>
    <w:rsid w:val="004F1B03"/>
    <w:rsid w:val="004F20C3"/>
    <w:rsid w:val="004F6650"/>
    <w:rsid w:val="0053763F"/>
    <w:rsid w:val="00562A22"/>
    <w:rsid w:val="0057735C"/>
    <w:rsid w:val="005A0436"/>
    <w:rsid w:val="005C5B3E"/>
    <w:rsid w:val="005F70A6"/>
    <w:rsid w:val="0061196D"/>
    <w:rsid w:val="00613603"/>
    <w:rsid w:val="006163E8"/>
    <w:rsid w:val="00624B02"/>
    <w:rsid w:val="00651512"/>
    <w:rsid w:val="00671BE7"/>
    <w:rsid w:val="00695509"/>
    <w:rsid w:val="00695E04"/>
    <w:rsid w:val="006C7751"/>
    <w:rsid w:val="006C7D6F"/>
    <w:rsid w:val="006D72AA"/>
    <w:rsid w:val="006D7DF2"/>
    <w:rsid w:val="006E42AC"/>
    <w:rsid w:val="006E7F10"/>
    <w:rsid w:val="006F0643"/>
    <w:rsid w:val="007550CF"/>
    <w:rsid w:val="00760E6B"/>
    <w:rsid w:val="0076407A"/>
    <w:rsid w:val="00767151"/>
    <w:rsid w:val="007707B1"/>
    <w:rsid w:val="00794C32"/>
    <w:rsid w:val="007A0E96"/>
    <w:rsid w:val="007B0CE8"/>
    <w:rsid w:val="007C68C5"/>
    <w:rsid w:val="007D01F0"/>
    <w:rsid w:val="007D0BAE"/>
    <w:rsid w:val="007D128F"/>
    <w:rsid w:val="007D6DDD"/>
    <w:rsid w:val="007F28B9"/>
    <w:rsid w:val="007F48E2"/>
    <w:rsid w:val="00825972"/>
    <w:rsid w:val="008277B2"/>
    <w:rsid w:val="0083195C"/>
    <w:rsid w:val="00880502"/>
    <w:rsid w:val="008D5750"/>
    <w:rsid w:val="00934995"/>
    <w:rsid w:val="00971703"/>
    <w:rsid w:val="009735A9"/>
    <w:rsid w:val="00977204"/>
    <w:rsid w:val="00985F76"/>
    <w:rsid w:val="009861D8"/>
    <w:rsid w:val="009B1D63"/>
    <w:rsid w:val="009B65DE"/>
    <w:rsid w:val="009E1A0B"/>
    <w:rsid w:val="009E2B14"/>
    <w:rsid w:val="009F45C4"/>
    <w:rsid w:val="00A15E5D"/>
    <w:rsid w:val="00A248EC"/>
    <w:rsid w:val="00A27CCF"/>
    <w:rsid w:val="00A4736E"/>
    <w:rsid w:val="00A51C50"/>
    <w:rsid w:val="00A91E7A"/>
    <w:rsid w:val="00A9556C"/>
    <w:rsid w:val="00A963FC"/>
    <w:rsid w:val="00AC10C9"/>
    <w:rsid w:val="00AD71CE"/>
    <w:rsid w:val="00AE3C32"/>
    <w:rsid w:val="00B2340E"/>
    <w:rsid w:val="00B61BFF"/>
    <w:rsid w:val="00B75717"/>
    <w:rsid w:val="00B84A31"/>
    <w:rsid w:val="00B84EDF"/>
    <w:rsid w:val="00B93223"/>
    <w:rsid w:val="00BB5632"/>
    <w:rsid w:val="00BD1AF4"/>
    <w:rsid w:val="00C029AC"/>
    <w:rsid w:val="00C3393C"/>
    <w:rsid w:val="00C442F5"/>
    <w:rsid w:val="00C549D9"/>
    <w:rsid w:val="00C56230"/>
    <w:rsid w:val="00C627CA"/>
    <w:rsid w:val="00C66390"/>
    <w:rsid w:val="00C67AAA"/>
    <w:rsid w:val="00C91C1E"/>
    <w:rsid w:val="00C93AB7"/>
    <w:rsid w:val="00CB41A8"/>
    <w:rsid w:val="00CB57D6"/>
    <w:rsid w:val="00CC034D"/>
    <w:rsid w:val="00CC6B90"/>
    <w:rsid w:val="00CE3D91"/>
    <w:rsid w:val="00D2115E"/>
    <w:rsid w:val="00D71EA3"/>
    <w:rsid w:val="00D772C0"/>
    <w:rsid w:val="00D83F89"/>
    <w:rsid w:val="00DF481B"/>
    <w:rsid w:val="00E006CD"/>
    <w:rsid w:val="00E02724"/>
    <w:rsid w:val="00E03035"/>
    <w:rsid w:val="00E22EEB"/>
    <w:rsid w:val="00E271E9"/>
    <w:rsid w:val="00E43347"/>
    <w:rsid w:val="00E60D24"/>
    <w:rsid w:val="00E933F3"/>
    <w:rsid w:val="00EC0B26"/>
    <w:rsid w:val="00ED1B67"/>
    <w:rsid w:val="00ED23F0"/>
    <w:rsid w:val="00F00E6F"/>
    <w:rsid w:val="00F13082"/>
    <w:rsid w:val="00F17B57"/>
    <w:rsid w:val="00F61F85"/>
    <w:rsid w:val="00F62211"/>
    <w:rsid w:val="00F6727F"/>
    <w:rsid w:val="00F72078"/>
    <w:rsid w:val="00F73886"/>
    <w:rsid w:val="00F85186"/>
    <w:rsid w:val="00FA62DB"/>
    <w:rsid w:val="00FA6BAA"/>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D08A889-5D13-4418-A58E-222812F8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6789A"/>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MainParagraph">
    <w:name w:val="Main Paragraph"/>
    <w:basedOn w:val="Normal"/>
    <w:rsid w:val="0036789A"/>
    <w:pPr>
      <w:numPr>
        <w:numId w:val="2"/>
      </w:numPr>
      <w:tabs>
        <w:tab w:val="left" w:pos="720"/>
      </w:tabs>
      <w:spacing w:after="240"/>
      <w:jc w:val="both"/>
    </w:pPr>
  </w:style>
  <w:style w:type="character" w:styleId="Hyperlink">
    <w:name w:val="Hyperlink"/>
    <w:basedOn w:val="DefaultParagraphFont"/>
    <w:uiPriority w:val="99"/>
    <w:semiHidden/>
    <w:unhideWhenUsed/>
    <w:rsid w:val="0036789A"/>
    <w:rPr>
      <w:strike w:val="0"/>
      <w:dstrike w:val="0"/>
      <w:color w:val="008CBA"/>
      <w:u w:val="none"/>
      <w:effect w:val="none"/>
    </w:rPr>
  </w:style>
  <w:style w:type="table" w:styleId="TableGrid">
    <w:name w:val="Table Grid"/>
    <w:basedOn w:val="TableNormal"/>
    <w:uiPriority w:val="59"/>
    <w:rsid w:val="0036789A"/>
    <w:pPr>
      <w:spacing w:after="0" w:line="240" w:lineRule="auto"/>
    </w:pPr>
    <w:rPr>
      <w:rFonts w:ascii="Times New Roman" w:eastAsia="Times New Roman" w:hAnsi="Times New Roman"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ection-e">
    <w:name w:val="subsection-e"/>
    <w:basedOn w:val="Normal"/>
    <w:rsid w:val="00C3393C"/>
    <w:pPr>
      <w:spacing w:after="120"/>
      <w:ind w:firstLine="600"/>
    </w:pPr>
    <w:rPr>
      <w:rFonts w:ascii="inherit" w:hAnsi="inherit"/>
    </w:rPr>
  </w:style>
  <w:style w:type="paragraph" w:customStyle="1" w:styleId="clause-e">
    <w:name w:val="clause-e"/>
    <w:basedOn w:val="Normal"/>
    <w:rsid w:val="00C3393C"/>
    <w:pPr>
      <w:spacing w:after="120"/>
      <w:ind w:left="720" w:hanging="300"/>
    </w:pPr>
    <w:rPr>
      <w:rFonts w:ascii="inherit" w:hAnsi="inherit"/>
    </w:rPr>
  </w:style>
  <w:style w:type="paragraph" w:customStyle="1" w:styleId="subclause-e">
    <w:name w:val="subclause-e"/>
    <w:basedOn w:val="Normal"/>
    <w:rsid w:val="00C3393C"/>
    <w:pPr>
      <w:spacing w:after="120"/>
      <w:ind w:left="1440" w:hanging="300"/>
    </w:pPr>
    <w:rPr>
      <w:rFonts w:ascii="inherit" w:hAnsi="inherit"/>
    </w:rPr>
  </w:style>
  <w:style w:type="paragraph" w:styleId="FootnoteText">
    <w:name w:val="footnote text"/>
    <w:basedOn w:val="Normal"/>
    <w:link w:val="FootnoteTextChar"/>
    <w:uiPriority w:val="99"/>
    <w:semiHidden/>
    <w:unhideWhenUsed/>
    <w:rsid w:val="00B75717"/>
    <w:rPr>
      <w:sz w:val="20"/>
      <w:szCs w:val="20"/>
    </w:rPr>
  </w:style>
  <w:style w:type="character" w:customStyle="1" w:styleId="FootnoteTextChar">
    <w:name w:val="Footnote Text Char"/>
    <w:basedOn w:val="DefaultParagraphFont"/>
    <w:link w:val="FootnoteText"/>
    <w:uiPriority w:val="99"/>
    <w:semiHidden/>
    <w:rsid w:val="00B75717"/>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B757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226611">
      <w:bodyDiv w:val="1"/>
      <w:marLeft w:val="0"/>
      <w:marRight w:val="0"/>
      <w:marTop w:val="0"/>
      <w:marBottom w:val="0"/>
      <w:divBdr>
        <w:top w:val="none" w:sz="0" w:space="0" w:color="auto"/>
        <w:left w:val="none" w:sz="0" w:space="0" w:color="auto"/>
        <w:bottom w:val="none" w:sz="0" w:space="0" w:color="auto"/>
        <w:right w:val="none" w:sz="0" w:space="0" w:color="auto"/>
      </w:divBdr>
      <w:divsChild>
        <w:div w:id="1467893626">
          <w:marLeft w:val="0"/>
          <w:marRight w:val="0"/>
          <w:marTop w:val="0"/>
          <w:marBottom w:val="0"/>
          <w:divBdr>
            <w:top w:val="none" w:sz="0" w:space="0" w:color="auto"/>
            <w:left w:val="none" w:sz="0" w:space="0" w:color="auto"/>
            <w:bottom w:val="none" w:sz="0" w:space="0" w:color="auto"/>
            <w:right w:val="none" w:sz="0" w:space="0" w:color="auto"/>
          </w:divBdr>
          <w:divsChild>
            <w:div w:id="1371806207">
              <w:marLeft w:val="0"/>
              <w:marRight w:val="0"/>
              <w:marTop w:val="0"/>
              <w:marBottom w:val="0"/>
              <w:divBdr>
                <w:top w:val="none" w:sz="0" w:space="0" w:color="auto"/>
                <w:left w:val="none" w:sz="0" w:space="0" w:color="auto"/>
                <w:bottom w:val="none" w:sz="0" w:space="0" w:color="auto"/>
                <w:right w:val="none" w:sz="0" w:space="0" w:color="auto"/>
              </w:divBdr>
              <w:divsChild>
                <w:div w:id="1794639184">
                  <w:marLeft w:val="0"/>
                  <w:marRight w:val="0"/>
                  <w:marTop w:val="0"/>
                  <w:marBottom w:val="0"/>
                  <w:divBdr>
                    <w:top w:val="none" w:sz="0" w:space="0" w:color="auto"/>
                    <w:left w:val="none" w:sz="0" w:space="0" w:color="auto"/>
                    <w:bottom w:val="none" w:sz="0" w:space="0" w:color="auto"/>
                    <w:right w:val="none" w:sz="0" w:space="0" w:color="auto"/>
                  </w:divBdr>
                  <w:divsChild>
                    <w:div w:id="8920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21782">
      <w:bodyDiv w:val="1"/>
      <w:marLeft w:val="0"/>
      <w:marRight w:val="0"/>
      <w:marTop w:val="0"/>
      <w:marBottom w:val="0"/>
      <w:divBdr>
        <w:top w:val="none" w:sz="0" w:space="0" w:color="auto"/>
        <w:left w:val="none" w:sz="0" w:space="0" w:color="auto"/>
        <w:bottom w:val="none" w:sz="0" w:space="0" w:color="auto"/>
        <w:right w:val="none" w:sz="0" w:space="0" w:color="auto"/>
      </w:divBdr>
      <w:divsChild>
        <w:div w:id="883373927">
          <w:marLeft w:val="0"/>
          <w:marRight w:val="0"/>
          <w:marTop w:val="0"/>
          <w:marBottom w:val="0"/>
          <w:divBdr>
            <w:top w:val="none" w:sz="0" w:space="0" w:color="auto"/>
            <w:left w:val="none" w:sz="0" w:space="0" w:color="auto"/>
            <w:bottom w:val="none" w:sz="0" w:space="0" w:color="auto"/>
            <w:right w:val="none" w:sz="0" w:space="0" w:color="auto"/>
          </w:divBdr>
          <w:divsChild>
            <w:div w:id="74716256">
              <w:marLeft w:val="0"/>
              <w:marRight w:val="0"/>
              <w:marTop w:val="0"/>
              <w:marBottom w:val="0"/>
              <w:divBdr>
                <w:top w:val="none" w:sz="0" w:space="0" w:color="auto"/>
                <w:left w:val="none" w:sz="0" w:space="0" w:color="auto"/>
                <w:bottom w:val="none" w:sz="0" w:space="0" w:color="auto"/>
                <w:right w:val="none" w:sz="0" w:space="0" w:color="auto"/>
              </w:divBdr>
              <w:divsChild>
                <w:div w:id="1695033710">
                  <w:marLeft w:val="0"/>
                  <w:marRight w:val="0"/>
                  <w:marTop w:val="0"/>
                  <w:marBottom w:val="0"/>
                  <w:divBdr>
                    <w:top w:val="none" w:sz="0" w:space="0" w:color="auto"/>
                    <w:left w:val="none" w:sz="0" w:space="0" w:color="auto"/>
                    <w:bottom w:val="none" w:sz="0" w:space="0" w:color="auto"/>
                    <w:right w:val="none" w:sz="0" w:space="0" w:color="auto"/>
                  </w:divBdr>
                  <w:divsChild>
                    <w:div w:id="21187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a/fr/lois/reglement/990114" TargetMode="External"/><Relationship Id="rId13" Type="http://schemas.openxmlformats.org/officeDocument/2006/relationships/hyperlink" Target="http://www.ontario.ca/fr/lois/reglement/990114" TargetMode="External"/><Relationship Id="rId18" Type="http://schemas.openxmlformats.org/officeDocument/2006/relationships/hyperlink" Target="http://www.ontario.ca/fr/lois/reglement/99011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ntario.ca/fr/lois/reglement/990114" TargetMode="External"/><Relationship Id="rId17" Type="http://schemas.openxmlformats.org/officeDocument/2006/relationships/hyperlink" Target="http://www.ontario.ca/fr/lois/reglement/990114" TargetMode="External"/><Relationship Id="rId2" Type="http://schemas.openxmlformats.org/officeDocument/2006/relationships/numbering" Target="numbering.xml"/><Relationship Id="rId16" Type="http://schemas.openxmlformats.org/officeDocument/2006/relationships/hyperlink" Target="http://www.ontario.ca/fr/lois/reglement/9901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tario.ca/fr/lois/reglement/99011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ntario.ca/fr/lois/reglement/990114" TargetMode="External"/><Relationship Id="rId19" Type="http://schemas.openxmlformats.org/officeDocument/2006/relationships/hyperlink" Target="http://www.ontario.ca/fr/lois/reglement/990114" TargetMode="External"/><Relationship Id="rId4" Type="http://schemas.openxmlformats.org/officeDocument/2006/relationships/settings" Target="settings.xml"/><Relationship Id="rId9" Type="http://schemas.openxmlformats.org/officeDocument/2006/relationships/hyperlink" Target="http://www.ontario.ca/fr/lois/reglement/990114" TargetMode="External"/><Relationship Id="rId14" Type="http://schemas.openxmlformats.org/officeDocument/2006/relationships/hyperlink" Target="http://www.ontario.ca/fr/lois/reglement/990114"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F6746-53F3-4085-9417-1591691F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3988</Words>
  <Characters>22735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opscommon</dc:creator>
  <cp:lastModifiedBy>Billings, Meghan (MAG)</cp:lastModifiedBy>
  <cp:revision>11</cp:revision>
  <cp:lastPrinted>2019-08-23T16:06:00Z</cp:lastPrinted>
  <dcterms:created xsi:type="dcterms:W3CDTF">2019-08-22T21:07:00Z</dcterms:created>
  <dcterms:modified xsi:type="dcterms:W3CDTF">2019-09-12T17:25:00Z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David.Jarvis@scj-csj.ca</vt:lpwstr>
  </property>
  <property fmtid="{D5CDD505-2E9C-101B-9397-08002B2CF9AE}" pid="5" name="MSIP_Label_034a106e-6316-442c-ad35-738afd673d2b_SetDate">
    <vt:lpwstr>2019-08-21T13:31:14.3758799Z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